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758F9" w14:textId="77777777" w:rsidR="009907BA" w:rsidRPr="00803DAB" w:rsidRDefault="009907BA" w:rsidP="009907BA">
      <w:pPr>
        <w:pStyle w:val="08-section"/>
        <w:numPr>
          <w:ilvl w:val="0"/>
          <w:numId w:val="0"/>
        </w:numPr>
        <w:rPr>
          <w:rFonts w:eastAsiaTheme="minorEastAsia"/>
          <w:lang w:eastAsia="zh-CN"/>
        </w:rPr>
      </w:pPr>
      <w:bookmarkStart w:id="0" w:name="_GoBack"/>
      <w:bookmarkEnd w:id="0"/>
      <w:r w:rsidRPr="00803DAB">
        <w:t>Appendix</w:t>
      </w:r>
    </w:p>
    <w:p w14:paraId="069CFFAF" w14:textId="77777777" w:rsidR="009907BA" w:rsidRPr="00803DAB" w:rsidRDefault="009907BA" w:rsidP="009907BA">
      <w:pPr>
        <w:pStyle w:val="15-table"/>
        <w:rPr>
          <w:color w:val="auto"/>
          <w:lang w:eastAsia="zh-CN"/>
        </w:rPr>
      </w:pPr>
      <w:r w:rsidRPr="00803DAB">
        <w:rPr>
          <w:color w:val="auto"/>
          <w:lang w:eastAsia="zh-CN"/>
        </w:rPr>
        <w:t>Table A1</w:t>
      </w:r>
    </w:p>
    <w:p w14:paraId="50098B07" w14:textId="77777777" w:rsidR="009907BA" w:rsidRPr="00803DAB" w:rsidRDefault="009907BA" w:rsidP="009907BA">
      <w:pPr>
        <w:pStyle w:val="16-tablecaption"/>
        <w:rPr>
          <w:color w:val="auto"/>
          <w:lang w:eastAsia="zh-CN"/>
        </w:rPr>
      </w:pPr>
      <w:r w:rsidRPr="00803DAB">
        <w:rPr>
          <w:color w:val="auto"/>
          <w:lang w:eastAsia="zh-CN"/>
        </w:rPr>
        <w:t>Peak strength of samples containing a single flaw.</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603"/>
        <w:gridCol w:w="546"/>
        <w:gridCol w:w="603"/>
        <w:gridCol w:w="603"/>
        <w:gridCol w:w="603"/>
        <w:gridCol w:w="603"/>
        <w:gridCol w:w="603"/>
        <w:gridCol w:w="567"/>
        <w:gridCol w:w="459"/>
        <w:gridCol w:w="459"/>
        <w:gridCol w:w="459"/>
        <w:gridCol w:w="459"/>
        <w:gridCol w:w="459"/>
        <w:gridCol w:w="459"/>
        <w:gridCol w:w="459"/>
        <w:gridCol w:w="925"/>
      </w:tblGrid>
      <w:tr w:rsidR="009907BA" w:rsidRPr="00803DAB" w14:paraId="5492BFA0" w14:textId="77777777" w:rsidTr="00F87A29">
        <w:tc>
          <w:tcPr>
            <w:tcW w:w="467" w:type="pct"/>
            <w:vMerge w:val="restart"/>
            <w:tcBorders>
              <w:top w:val="single" w:sz="4" w:space="0" w:color="auto"/>
              <w:bottom w:val="nil"/>
            </w:tcBorders>
            <w:vAlign w:val="center"/>
          </w:tcPr>
          <w:p w14:paraId="19277D10" w14:textId="77777777" w:rsidR="009907BA" w:rsidRPr="00803DAB" w:rsidRDefault="009907BA" w:rsidP="00F87A29">
            <w:pPr>
              <w:pStyle w:val="17-tablecontent"/>
              <w:rPr>
                <w:color w:val="auto"/>
                <w:lang w:eastAsia="zh-CN"/>
              </w:rPr>
            </w:pPr>
            <w:r w:rsidRPr="00803DAB">
              <w:rPr>
                <w:color w:val="auto"/>
                <w:lang w:eastAsia="zh-CN"/>
              </w:rPr>
              <w:t>Material</w:t>
            </w:r>
          </w:p>
        </w:tc>
        <w:tc>
          <w:tcPr>
            <w:tcW w:w="316" w:type="pct"/>
            <w:vMerge w:val="restart"/>
            <w:tcBorders>
              <w:top w:val="single" w:sz="4" w:space="0" w:color="auto"/>
              <w:bottom w:val="nil"/>
            </w:tcBorders>
            <w:vAlign w:val="center"/>
          </w:tcPr>
          <w:p w14:paraId="1AF58969" w14:textId="77777777" w:rsidR="009907BA" w:rsidRPr="00803DAB" w:rsidRDefault="009907BA" w:rsidP="00F87A29">
            <w:pPr>
              <w:pStyle w:val="17-tablecontent"/>
              <w:rPr>
                <w:i/>
                <w:iCs/>
                <w:color w:val="auto"/>
                <w:vertAlign w:val="subscript"/>
                <w:lang w:eastAsia="zh-CN"/>
              </w:rPr>
            </w:pPr>
            <w:r w:rsidRPr="00803DAB">
              <w:rPr>
                <w:rFonts w:ascii="Times New Roman" w:hAnsi="Times New Roman"/>
                <w:i/>
                <w:color w:val="auto"/>
                <w:lang w:eastAsia="zh-CN"/>
              </w:rPr>
              <w:t>σ</w:t>
            </w:r>
            <w:r w:rsidRPr="00803DAB">
              <w:rPr>
                <w:color w:val="auto"/>
                <w:vertAlign w:val="subscript"/>
                <w:lang w:eastAsia="zh-CN"/>
              </w:rPr>
              <w:t>i</w:t>
            </w:r>
          </w:p>
          <w:p w14:paraId="58A53644" w14:textId="77777777" w:rsidR="009907BA" w:rsidRPr="00803DAB" w:rsidRDefault="009907BA" w:rsidP="00F87A29">
            <w:pPr>
              <w:pStyle w:val="17-tablecontent"/>
              <w:rPr>
                <w:color w:val="auto"/>
                <w:lang w:eastAsia="zh-CN"/>
              </w:rPr>
            </w:pPr>
            <w:r w:rsidRPr="00803DAB">
              <w:rPr>
                <w:color w:val="auto"/>
                <w:lang w:eastAsia="zh-CN"/>
              </w:rPr>
              <w:t>(MPa)</w:t>
            </w:r>
          </w:p>
        </w:tc>
        <w:tc>
          <w:tcPr>
            <w:tcW w:w="2117" w:type="pct"/>
            <w:gridSpan w:val="7"/>
            <w:tcBorders>
              <w:top w:val="single" w:sz="4" w:space="0" w:color="auto"/>
              <w:bottom w:val="single" w:sz="4" w:space="0" w:color="auto"/>
            </w:tcBorders>
            <w:vAlign w:val="center"/>
          </w:tcPr>
          <w:p w14:paraId="551FC696" w14:textId="77777777" w:rsidR="009907BA" w:rsidRPr="00803DAB" w:rsidRDefault="009907BA" w:rsidP="00F87A29">
            <w:pPr>
              <w:pStyle w:val="17-tablecontent"/>
              <w:rPr>
                <w:color w:val="auto"/>
                <w:lang w:eastAsia="zh-CN"/>
              </w:rPr>
            </w:pPr>
            <w:r w:rsidRPr="00803DAB">
              <w:rPr>
                <w:rFonts w:ascii="Times New Roman" w:hAnsi="Times New Roman"/>
                <w:i/>
                <w:iCs/>
                <w:color w:val="auto"/>
                <w:lang w:eastAsia="zh-CN"/>
              </w:rPr>
              <w:t>σ</w:t>
            </w:r>
            <w:r w:rsidRPr="00803DAB">
              <w:rPr>
                <w:color w:val="auto"/>
                <w:vertAlign w:val="subscript"/>
                <w:lang w:eastAsia="zh-CN"/>
              </w:rPr>
              <w:t>c</w:t>
            </w:r>
            <w:r w:rsidRPr="00803DAB">
              <w:rPr>
                <w:color w:val="auto"/>
                <w:lang w:eastAsia="zh-CN"/>
              </w:rPr>
              <w:t xml:space="preserve"> (MPa)</w:t>
            </w:r>
          </w:p>
        </w:tc>
        <w:tc>
          <w:tcPr>
            <w:tcW w:w="1612" w:type="pct"/>
            <w:gridSpan w:val="7"/>
            <w:tcBorders>
              <w:top w:val="single" w:sz="4" w:space="0" w:color="auto"/>
              <w:bottom w:val="single" w:sz="4" w:space="0" w:color="auto"/>
            </w:tcBorders>
            <w:vAlign w:val="center"/>
          </w:tcPr>
          <w:p w14:paraId="3F125A4F" w14:textId="77777777" w:rsidR="009907BA" w:rsidRPr="00803DAB" w:rsidRDefault="009907BA" w:rsidP="00F87A29">
            <w:pPr>
              <w:pStyle w:val="17-tablecontent"/>
              <w:rPr>
                <w:color w:val="auto"/>
                <w:lang w:eastAsia="zh-CN"/>
              </w:rPr>
            </w:pPr>
            <w:r w:rsidRPr="00803DAB">
              <w:rPr>
                <w:rFonts w:ascii="Times New Roman" w:hAnsi="Times New Roman"/>
                <w:i/>
                <w:color w:val="auto"/>
                <w:lang w:eastAsia="zh-CN"/>
              </w:rPr>
              <w:t>σ</w:t>
            </w:r>
            <w:r w:rsidRPr="00803DAB">
              <w:rPr>
                <w:color w:val="auto"/>
                <w:vertAlign w:val="subscript"/>
                <w:lang w:eastAsia="zh-CN"/>
              </w:rPr>
              <w:t>c</w:t>
            </w:r>
            <w:r w:rsidRPr="00803DAB">
              <w:rPr>
                <w:color w:val="auto"/>
                <w:lang w:eastAsia="zh-CN"/>
              </w:rPr>
              <w:t>/</w:t>
            </w:r>
            <w:r w:rsidRPr="00803DAB">
              <w:rPr>
                <w:rFonts w:ascii="Times New Roman" w:hAnsi="Times New Roman"/>
                <w:i/>
                <w:color w:val="auto"/>
                <w:lang w:eastAsia="zh-CN"/>
              </w:rPr>
              <w:t>σ</w:t>
            </w:r>
            <w:r w:rsidRPr="00803DAB">
              <w:rPr>
                <w:color w:val="auto"/>
                <w:vertAlign w:val="subscript"/>
                <w:lang w:eastAsia="zh-CN"/>
              </w:rPr>
              <w:t>i</w:t>
            </w:r>
          </w:p>
        </w:tc>
        <w:tc>
          <w:tcPr>
            <w:tcW w:w="488" w:type="pct"/>
            <w:vMerge w:val="restart"/>
            <w:tcBorders>
              <w:top w:val="single" w:sz="4" w:space="0" w:color="auto"/>
              <w:bottom w:val="single" w:sz="4" w:space="0" w:color="auto"/>
            </w:tcBorders>
            <w:vAlign w:val="center"/>
          </w:tcPr>
          <w:p w14:paraId="3E1F5F2B" w14:textId="77777777" w:rsidR="009907BA" w:rsidRPr="00803DAB" w:rsidRDefault="009907BA" w:rsidP="00F87A29">
            <w:pPr>
              <w:pStyle w:val="17-tablecontent"/>
              <w:rPr>
                <w:color w:val="auto"/>
                <w:lang w:eastAsia="zh-CN"/>
              </w:rPr>
            </w:pPr>
            <w:r w:rsidRPr="00803DAB">
              <w:rPr>
                <w:color w:val="auto"/>
                <w:lang w:eastAsia="zh-CN"/>
              </w:rPr>
              <w:t>Source</w:t>
            </w:r>
          </w:p>
        </w:tc>
      </w:tr>
      <w:tr w:rsidR="009907BA" w:rsidRPr="00803DAB" w14:paraId="1C468D6B" w14:textId="77777777" w:rsidTr="00F87A29">
        <w:tc>
          <w:tcPr>
            <w:tcW w:w="467" w:type="pct"/>
            <w:vMerge/>
            <w:tcBorders>
              <w:top w:val="nil"/>
              <w:bottom w:val="single" w:sz="4" w:space="0" w:color="auto"/>
            </w:tcBorders>
            <w:vAlign w:val="center"/>
          </w:tcPr>
          <w:p w14:paraId="1CCE3026" w14:textId="77777777" w:rsidR="009907BA" w:rsidRPr="00803DAB" w:rsidRDefault="009907BA" w:rsidP="00F87A29">
            <w:pPr>
              <w:pStyle w:val="17-tablecontent"/>
              <w:rPr>
                <w:color w:val="auto"/>
                <w:lang w:eastAsia="zh-CN"/>
              </w:rPr>
            </w:pPr>
          </w:p>
        </w:tc>
        <w:tc>
          <w:tcPr>
            <w:tcW w:w="316" w:type="pct"/>
            <w:vMerge/>
            <w:tcBorders>
              <w:top w:val="nil"/>
              <w:bottom w:val="single" w:sz="4" w:space="0" w:color="auto"/>
            </w:tcBorders>
            <w:vAlign w:val="center"/>
          </w:tcPr>
          <w:p w14:paraId="2D19DF2C" w14:textId="77777777" w:rsidR="009907BA" w:rsidRPr="00803DAB" w:rsidRDefault="009907BA" w:rsidP="00F87A29">
            <w:pPr>
              <w:pStyle w:val="17-tablecontent"/>
              <w:rPr>
                <w:color w:val="auto"/>
                <w:lang w:eastAsia="zh-CN"/>
              </w:rPr>
            </w:pPr>
          </w:p>
        </w:tc>
        <w:tc>
          <w:tcPr>
            <w:tcW w:w="302" w:type="pct"/>
            <w:tcBorders>
              <w:top w:val="single" w:sz="4" w:space="0" w:color="auto"/>
              <w:bottom w:val="single" w:sz="4" w:space="0" w:color="auto"/>
            </w:tcBorders>
            <w:vAlign w:val="center"/>
          </w:tcPr>
          <w:p w14:paraId="54936BC2" w14:textId="77777777" w:rsidR="009907BA" w:rsidRPr="00803DAB" w:rsidRDefault="009907BA" w:rsidP="00F87A29">
            <w:pPr>
              <w:pStyle w:val="17-tablecontent"/>
              <w:rPr>
                <w:color w:val="auto"/>
                <w:lang w:eastAsia="zh-CN"/>
              </w:rPr>
            </w:pPr>
            <w:r w:rsidRPr="00803DAB">
              <w:rPr>
                <w:color w:val="auto"/>
                <w:lang w:eastAsia="zh-CN"/>
              </w:rPr>
              <w:t>0°</w:t>
            </w:r>
          </w:p>
        </w:tc>
        <w:tc>
          <w:tcPr>
            <w:tcW w:w="302" w:type="pct"/>
            <w:tcBorders>
              <w:top w:val="single" w:sz="4" w:space="0" w:color="auto"/>
              <w:bottom w:val="single" w:sz="4" w:space="0" w:color="auto"/>
            </w:tcBorders>
            <w:vAlign w:val="center"/>
          </w:tcPr>
          <w:p w14:paraId="3699C3F9" w14:textId="77777777" w:rsidR="009907BA" w:rsidRPr="00803DAB" w:rsidRDefault="009907BA" w:rsidP="00F87A29">
            <w:pPr>
              <w:pStyle w:val="17-tablecontent"/>
              <w:rPr>
                <w:color w:val="auto"/>
                <w:lang w:eastAsia="zh-CN"/>
              </w:rPr>
            </w:pPr>
            <w:r w:rsidRPr="00803DAB">
              <w:rPr>
                <w:color w:val="auto"/>
                <w:lang w:eastAsia="zh-CN"/>
              </w:rPr>
              <w:t>15°</w:t>
            </w:r>
          </w:p>
        </w:tc>
        <w:tc>
          <w:tcPr>
            <w:tcW w:w="302" w:type="pct"/>
            <w:tcBorders>
              <w:top w:val="single" w:sz="4" w:space="0" w:color="auto"/>
              <w:bottom w:val="single" w:sz="4" w:space="0" w:color="auto"/>
            </w:tcBorders>
            <w:vAlign w:val="center"/>
          </w:tcPr>
          <w:p w14:paraId="440000C6" w14:textId="77777777" w:rsidR="009907BA" w:rsidRPr="00803DAB" w:rsidRDefault="009907BA" w:rsidP="00F87A29">
            <w:pPr>
              <w:pStyle w:val="17-tablecontent"/>
              <w:rPr>
                <w:color w:val="auto"/>
                <w:lang w:eastAsia="zh-CN"/>
              </w:rPr>
            </w:pPr>
            <w:r w:rsidRPr="00803DAB">
              <w:rPr>
                <w:color w:val="auto"/>
                <w:lang w:eastAsia="zh-CN"/>
              </w:rPr>
              <w:t>30°</w:t>
            </w:r>
          </w:p>
        </w:tc>
        <w:tc>
          <w:tcPr>
            <w:tcW w:w="302" w:type="pct"/>
            <w:tcBorders>
              <w:top w:val="single" w:sz="4" w:space="0" w:color="auto"/>
              <w:bottom w:val="single" w:sz="4" w:space="0" w:color="auto"/>
            </w:tcBorders>
            <w:vAlign w:val="center"/>
          </w:tcPr>
          <w:p w14:paraId="4F2A7330" w14:textId="77777777" w:rsidR="009907BA" w:rsidRPr="00803DAB" w:rsidRDefault="009907BA" w:rsidP="00F87A29">
            <w:pPr>
              <w:pStyle w:val="17-tablecontent"/>
              <w:rPr>
                <w:color w:val="auto"/>
                <w:lang w:eastAsia="zh-CN"/>
              </w:rPr>
            </w:pPr>
            <w:r w:rsidRPr="00803DAB">
              <w:rPr>
                <w:color w:val="auto"/>
                <w:lang w:eastAsia="zh-CN"/>
              </w:rPr>
              <w:t>45°</w:t>
            </w:r>
          </w:p>
        </w:tc>
        <w:tc>
          <w:tcPr>
            <w:tcW w:w="302" w:type="pct"/>
            <w:tcBorders>
              <w:top w:val="single" w:sz="4" w:space="0" w:color="auto"/>
              <w:bottom w:val="single" w:sz="4" w:space="0" w:color="auto"/>
            </w:tcBorders>
            <w:vAlign w:val="center"/>
          </w:tcPr>
          <w:p w14:paraId="2A91C850" w14:textId="77777777" w:rsidR="009907BA" w:rsidRPr="00803DAB" w:rsidRDefault="009907BA" w:rsidP="00F87A29">
            <w:pPr>
              <w:pStyle w:val="17-tablecontent"/>
              <w:rPr>
                <w:color w:val="auto"/>
                <w:lang w:eastAsia="zh-CN"/>
              </w:rPr>
            </w:pPr>
            <w:r w:rsidRPr="00803DAB">
              <w:rPr>
                <w:color w:val="auto"/>
                <w:lang w:eastAsia="zh-CN"/>
              </w:rPr>
              <w:t>60°</w:t>
            </w:r>
          </w:p>
        </w:tc>
        <w:tc>
          <w:tcPr>
            <w:tcW w:w="302" w:type="pct"/>
            <w:tcBorders>
              <w:top w:val="single" w:sz="4" w:space="0" w:color="auto"/>
              <w:bottom w:val="single" w:sz="4" w:space="0" w:color="auto"/>
            </w:tcBorders>
            <w:vAlign w:val="center"/>
          </w:tcPr>
          <w:p w14:paraId="35BE70AB" w14:textId="77777777" w:rsidR="009907BA" w:rsidRPr="00803DAB" w:rsidRDefault="009907BA" w:rsidP="00F87A29">
            <w:pPr>
              <w:pStyle w:val="17-tablecontent"/>
              <w:rPr>
                <w:color w:val="auto"/>
                <w:lang w:eastAsia="zh-CN"/>
              </w:rPr>
            </w:pPr>
            <w:r w:rsidRPr="00803DAB">
              <w:rPr>
                <w:color w:val="auto"/>
                <w:lang w:eastAsia="zh-CN"/>
              </w:rPr>
              <w:t>75°</w:t>
            </w:r>
          </w:p>
        </w:tc>
        <w:tc>
          <w:tcPr>
            <w:tcW w:w="302" w:type="pct"/>
            <w:tcBorders>
              <w:top w:val="single" w:sz="4" w:space="0" w:color="auto"/>
              <w:bottom w:val="single" w:sz="4" w:space="0" w:color="auto"/>
            </w:tcBorders>
            <w:vAlign w:val="center"/>
          </w:tcPr>
          <w:p w14:paraId="65F50E29" w14:textId="77777777" w:rsidR="009907BA" w:rsidRPr="00803DAB" w:rsidRDefault="009907BA" w:rsidP="00F87A29">
            <w:pPr>
              <w:pStyle w:val="17-tablecontent"/>
              <w:rPr>
                <w:color w:val="auto"/>
                <w:lang w:eastAsia="zh-CN"/>
              </w:rPr>
            </w:pPr>
            <w:r w:rsidRPr="00803DAB">
              <w:rPr>
                <w:color w:val="auto"/>
                <w:lang w:eastAsia="zh-CN"/>
              </w:rPr>
              <w:t>90°</w:t>
            </w:r>
          </w:p>
        </w:tc>
        <w:tc>
          <w:tcPr>
            <w:tcW w:w="230" w:type="pct"/>
            <w:tcBorders>
              <w:top w:val="single" w:sz="4" w:space="0" w:color="auto"/>
              <w:bottom w:val="single" w:sz="4" w:space="0" w:color="auto"/>
            </w:tcBorders>
            <w:vAlign w:val="center"/>
          </w:tcPr>
          <w:p w14:paraId="052D2406" w14:textId="77777777" w:rsidR="009907BA" w:rsidRPr="00803DAB" w:rsidRDefault="009907BA" w:rsidP="00F87A29">
            <w:pPr>
              <w:pStyle w:val="17-tablecontent"/>
              <w:rPr>
                <w:color w:val="auto"/>
                <w:lang w:eastAsia="zh-CN"/>
              </w:rPr>
            </w:pPr>
            <w:r w:rsidRPr="00803DAB">
              <w:rPr>
                <w:color w:val="auto"/>
                <w:lang w:eastAsia="zh-CN"/>
              </w:rPr>
              <w:t>0°</w:t>
            </w:r>
          </w:p>
        </w:tc>
        <w:tc>
          <w:tcPr>
            <w:tcW w:w="230" w:type="pct"/>
            <w:tcBorders>
              <w:top w:val="single" w:sz="4" w:space="0" w:color="auto"/>
              <w:bottom w:val="single" w:sz="4" w:space="0" w:color="auto"/>
            </w:tcBorders>
            <w:vAlign w:val="center"/>
          </w:tcPr>
          <w:p w14:paraId="2FCBA796" w14:textId="77777777" w:rsidR="009907BA" w:rsidRPr="00803DAB" w:rsidRDefault="009907BA" w:rsidP="00F87A29">
            <w:pPr>
              <w:pStyle w:val="17-tablecontent"/>
              <w:rPr>
                <w:color w:val="auto"/>
                <w:lang w:eastAsia="zh-CN"/>
              </w:rPr>
            </w:pPr>
            <w:r w:rsidRPr="00803DAB">
              <w:rPr>
                <w:color w:val="auto"/>
                <w:lang w:eastAsia="zh-CN"/>
              </w:rPr>
              <w:t>15°</w:t>
            </w:r>
          </w:p>
        </w:tc>
        <w:tc>
          <w:tcPr>
            <w:tcW w:w="230" w:type="pct"/>
            <w:tcBorders>
              <w:top w:val="single" w:sz="4" w:space="0" w:color="auto"/>
              <w:bottom w:val="single" w:sz="4" w:space="0" w:color="auto"/>
            </w:tcBorders>
            <w:vAlign w:val="center"/>
          </w:tcPr>
          <w:p w14:paraId="32E9022E" w14:textId="77777777" w:rsidR="009907BA" w:rsidRPr="00803DAB" w:rsidRDefault="009907BA" w:rsidP="00F87A29">
            <w:pPr>
              <w:pStyle w:val="17-tablecontent"/>
              <w:rPr>
                <w:color w:val="auto"/>
                <w:lang w:eastAsia="zh-CN"/>
              </w:rPr>
            </w:pPr>
            <w:r w:rsidRPr="00803DAB">
              <w:rPr>
                <w:color w:val="auto"/>
                <w:lang w:eastAsia="zh-CN"/>
              </w:rPr>
              <w:t>30°</w:t>
            </w:r>
          </w:p>
        </w:tc>
        <w:tc>
          <w:tcPr>
            <w:tcW w:w="230" w:type="pct"/>
            <w:tcBorders>
              <w:top w:val="single" w:sz="4" w:space="0" w:color="auto"/>
              <w:bottom w:val="single" w:sz="4" w:space="0" w:color="auto"/>
            </w:tcBorders>
            <w:vAlign w:val="center"/>
          </w:tcPr>
          <w:p w14:paraId="30056CA3" w14:textId="77777777" w:rsidR="009907BA" w:rsidRPr="00803DAB" w:rsidRDefault="009907BA" w:rsidP="00F87A29">
            <w:pPr>
              <w:pStyle w:val="17-tablecontent"/>
              <w:rPr>
                <w:color w:val="auto"/>
                <w:lang w:eastAsia="zh-CN"/>
              </w:rPr>
            </w:pPr>
            <w:r w:rsidRPr="00803DAB">
              <w:rPr>
                <w:color w:val="auto"/>
                <w:lang w:eastAsia="zh-CN"/>
              </w:rPr>
              <w:t>45°</w:t>
            </w:r>
          </w:p>
        </w:tc>
        <w:tc>
          <w:tcPr>
            <w:tcW w:w="230" w:type="pct"/>
            <w:tcBorders>
              <w:top w:val="single" w:sz="4" w:space="0" w:color="auto"/>
              <w:bottom w:val="single" w:sz="4" w:space="0" w:color="auto"/>
            </w:tcBorders>
            <w:vAlign w:val="center"/>
          </w:tcPr>
          <w:p w14:paraId="5B257F75" w14:textId="77777777" w:rsidR="009907BA" w:rsidRPr="00803DAB" w:rsidRDefault="009907BA" w:rsidP="00F87A29">
            <w:pPr>
              <w:pStyle w:val="17-tablecontent"/>
              <w:rPr>
                <w:color w:val="auto"/>
                <w:lang w:eastAsia="zh-CN"/>
              </w:rPr>
            </w:pPr>
            <w:r w:rsidRPr="00803DAB">
              <w:rPr>
                <w:color w:val="auto"/>
                <w:lang w:eastAsia="zh-CN"/>
              </w:rPr>
              <w:t>60°</w:t>
            </w:r>
          </w:p>
        </w:tc>
        <w:tc>
          <w:tcPr>
            <w:tcW w:w="230" w:type="pct"/>
            <w:tcBorders>
              <w:top w:val="single" w:sz="4" w:space="0" w:color="auto"/>
              <w:bottom w:val="single" w:sz="4" w:space="0" w:color="auto"/>
            </w:tcBorders>
            <w:vAlign w:val="center"/>
          </w:tcPr>
          <w:p w14:paraId="489787F7" w14:textId="77777777" w:rsidR="009907BA" w:rsidRPr="00803DAB" w:rsidRDefault="009907BA" w:rsidP="00F87A29">
            <w:pPr>
              <w:pStyle w:val="17-tablecontent"/>
              <w:rPr>
                <w:color w:val="auto"/>
                <w:lang w:eastAsia="zh-CN"/>
              </w:rPr>
            </w:pPr>
            <w:r w:rsidRPr="00803DAB">
              <w:rPr>
                <w:color w:val="auto"/>
                <w:lang w:eastAsia="zh-CN"/>
              </w:rPr>
              <w:t>75°</w:t>
            </w:r>
          </w:p>
        </w:tc>
        <w:tc>
          <w:tcPr>
            <w:tcW w:w="230" w:type="pct"/>
            <w:tcBorders>
              <w:top w:val="single" w:sz="4" w:space="0" w:color="auto"/>
              <w:bottom w:val="single" w:sz="4" w:space="0" w:color="auto"/>
            </w:tcBorders>
            <w:vAlign w:val="center"/>
          </w:tcPr>
          <w:p w14:paraId="7847EE1C" w14:textId="77777777" w:rsidR="009907BA" w:rsidRPr="00803DAB" w:rsidRDefault="009907BA" w:rsidP="00F87A29">
            <w:pPr>
              <w:pStyle w:val="17-tablecontent"/>
              <w:rPr>
                <w:color w:val="auto"/>
                <w:lang w:eastAsia="zh-CN"/>
              </w:rPr>
            </w:pPr>
            <w:r w:rsidRPr="00803DAB">
              <w:rPr>
                <w:color w:val="auto"/>
                <w:lang w:eastAsia="zh-CN"/>
              </w:rPr>
              <w:t>90°</w:t>
            </w:r>
          </w:p>
        </w:tc>
        <w:tc>
          <w:tcPr>
            <w:tcW w:w="488" w:type="pct"/>
            <w:vMerge/>
            <w:tcBorders>
              <w:top w:val="nil"/>
              <w:bottom w:val="single" w:sz="4" w:space="0" w:color="auto"/>
            </w:tcBorders>
            <w:vAlign w:val="center"/>
          </w:tcPr>
          <w:p w14:paraId="7A86B123" w14:textId="77777777" w:rsidR="009907BA" w:rsidRPr="00803DAB" w:rsidRDefault="009907BA" w:rsidP="00F87A29">
            <w:pPr>
              <w:pStyle w:val="17-tablecontent"/>
              <w:rPr>
                <w:color w:val="auto"/>
                <w:lang w:eastAsia="zh-CN"/>
              </w:rPr>
            </w:pPr>
          </w:p>
        </w:tc>
      </w:tr>
      <w:tr w:rsidR="009907BA" w:rsidRPr="00803DAB" w14:paraId="0A00682A" w14:textId="77777777" w:rsidTr="00F87A29">
        <w:tc>
          <w:tcPr>
            <w:tcW w:w="467" w:type="pct"/>
            <w:tcBorders>
              <w:top w:val="single" w:sz="4" w:space="0" w:color="auto"/>
            </w:tcBorders>
            <w:vAlign w:val="center"/>
          </w:tcPr>
          <w:p w14:paraId="59AC0588"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16" w:type="pct"/>
            <w:tcBorders>
              <w:top w:val="single" w:sz="4" w:space="0" w:color="auto"/>
            </w:tcBorders>
            <w:vAlign w:val="center"/>
          </w:tcPr>
          <w:p w14:paraId="375D0D12" w14:textId="77777777" w:rsidR="009907BA" w:rsidRPr="00803DAB" w:rsidRDefault="009907BA" w:rsidP="00F87A29">
            <w:pPr>
              <w:pStyle w:val="17-tablecontent"/>
              <w:rPr>
                <w:color w:val="auto"/>
                <w:lang w:eastAsia="zh-CN"/>
              </w:rPr>
            </w:pPr>
            <w:r w:rsidRPr="00803DAB">
              <w:rPr>
                <w:color w:val="auto"/>
                <w:lang w:eastAsia="zh-CN"/>
              </w:rPr>
              <w:t>47.29</w:t>
            </w:r>
          </w:p>
        </w:tc>
        <w:tc>
          <w:tcPr>
            <w:tcW w:w="302" w:type="pct"/>
            <w:tcBorders>
              <w:top w:val="single" w:sz="4" w:space="0" w:color="auto"/>
            </w:tcBorders>
            <w:vAlign w:val="center"/>
          </w:tcPr>
          <w:p w14:paraId="07CB3D24" w14:textId="77777777" w:rsidR="009907BA" w:rsidRPr="00803DAB" w:rsidRDefault="009907BA" w:rsidP="00F87A29">
            <w:pPr>
              <w:pStyle w:val="17-tablecontent"/>
              <w:rPr>
                <w:color w:val="auto"/>
                <w:lang w:eastAsia="zh-CN"/>
              </w:rPr>
            </w:pPr>
          </w:p>
        </w:tc>
        <w:tc>
          <w:tcPr>
            <w:tcW w:w="302" w:type="pct"/>
            <w:tcBorders>
              <w:top w:val="single" w:sz="4" w:space="0" w:color="auto"/>
            </w:tcBorders>
            <w:vAlign w:val="center"/>
          </w:tcPr>
          <w:p w14:paraId="1AF53A23" w14:textId="77777777" w:rsidR="009907BA" w:rsidRPr="00803DAB" w:rsidRDefault="009907BA" w:rsidP="00F87A29">
            <w:pPr>
              <w:pStyle w:val="17-tablecontent"/>
              <w:rPr>
                <w:color w:val="auto"/>
                <w:lang w:eastAsia="zh-CN"/>
              </w:rPr>
            </w:pPr>
            <w:r w:rsidRPr="00803DAB">
              <w:rPr>
                <w:color w:val="auto"/>
                <w:lang w:eastAsia="zh-CN"/>
              </w:rPr>
              <w:t>35.45</w:t>
            </w:r>
          </w:p>
        </w:tc>
        <w:tc>
          <w:tcPr>
            <w:tcW w:w="302" w:type="pct"/>
            <w:tcBorders>
              <w:top w:val="single" w:sz="4" w:space="0" w:color="auto"/>
            </w:tcBorders>
            <w:vAlign w:val="center"/>
          </w:tcPr>
          <w:p w14:paraId="4CC42310" w14:textId="77777777" w:rsidR="009907BA" w:rsidRPr="00803DAB" w:rsidRDefault="009907BA" w:rsidP="00F87A29">
            <w:pPr>
              <w:pStyle w:val="17-tablecontent"/>
              <w:rPr>
                <w:color w:val="auto"/>
                <w:lang w:eastAsia="zh-CN"/>
              </w:rPr>
            </w:pPr>
            <w:r w:rsidRPr="00803DAB">
              <w:rPr>
                <w:color w:val="auto"/>
                <w:lang w:eastAsia="zh-CN"/>
              </w:rPr>
              <w:t>36.29</w:t>
            </w:r>
          </w:p>
        </w:tc>
        <w:tc>
          <w:tcPr>
            <w:tcW w:w="302" w:type="pct"/>
            <w:tcBorders>
              <w:top w:val="single" w:sz="4" w:space="0" w:color="auto"/>
            </w:tcBorders>
            <w:vAlign w:val="center"/>
          </w:tcPr>
          <w:p w14:paraId="1B81E831" w14:textId="77777777" w:rsidR="009907BA" w:rsidRPr="00803DAB" w:rsidRDefault="009907BA" w:rsidP="00F87A29">
            <w:pPr>
              <w:pStyle w:val="17-tablecontent"/>
              <w:rPr>
                <w:color w:val="auto"/>
                <w:lang w:eastAsia="zh-CN"/>
              </w:rPr>
            </w:pPr>
            <w:r w:rsidRPr="00803DAB">
              <w:rPr>
                <w:color w:val="auto"/>
                <w:lang w:eastAsia="zh-CN"/>
              </w:rPr>
              <w:t>38.9</w:t>
            </w:r>
          </w:p>
        </w:tc>
        <w:tc>
          <w:tcPr>
            <w:tcW w:w="302" w:type="pct"/>
            <w:tcBorders>
              <w:top w:val="single" w:sz="4" w:space="0" w:color="auto"/>
            </w:tcBorders>
            <w:vAlign w:val="center"/>
          </w:tcPr>
          <w:p w14:paraId="61B56F4C" w14:textId="77777777" w:rsidR="009907BA" w:rsidRPr="00803DAB" w:rsidRDefault="009907BA" w:rsidP="00F87A29">
            <w:pPr>
              <w:pStyle w:val="17-tablecontent"/>
              <w:rPr>
                <w:color w:val="auto"/>
                <w:lang w:eastAsia="zh-CN"/>
              </w:rPr>
            </w:pPr>
            <w:r w:rsidRPr="00803DAB">
              <w:rPr>
                <w:color w:val="auto"/>
                <w:lang w:eastAsia="zh-CN"/>
              </w:rPr>
              <w:t>43.32</w:t>
            </w:r>
          </w:p>
        </w:tc>
        <w:tc>
          <w:tcPr>
            <w:tcW w:w="302" w:type="pct"/>
            <w:tcBorders>
              <w:top w:val="single" w:sz="4" w:space="0" w:color="auto"/>
            </w:tcBorders>
            <w:vAlign w:val="center"/>
          </w:tcPr>
          <w:p w14:paraId="087BAC1A" w14:textId="77777777" w:rsidR="009907BA" w:rsidRPr="00803DAB" w:rsidRDefault="009907BA" w:rsidP="00F87A29">
            <w:pPr>
              <w:pStyle w:val="17-tablecontent"/>
              <w:rPr>
                <w:color w:val="auto"/>
                <w:lang w:eastAsia="zh-CN"/>
              </w:rPr>
            </w:pPr>
            <w:r w:rsidRPr="00803DAB">
              <w:rPr>
                <w:color w:val="auto"/>
                <w:lang w:eastAsia="zh-CN"/>
              </w:rPr>
              <w:t>45</w:t>
            </w:r>
          </w:p>
        </w:tc>
        <w:tc>
          <w:tcPr>
            <w:tcW w:w="302" w:type="pct"/>
            <w:tcBorders>
              <w:top w:val="single" w:sz="4" w:space="0" w:color="auto"/>
            </w:tcBorders>
            <w:vAlign w:val="center"/>
          </w:tcPr>
          <w:p w14:paraId="0B860DBB" w14:textId="77777777" w:rsidR="009907BA" w:rsidRPr="00803DAB" w:rsidRDefault="009907BA" w:rsidP="00F87A29">
            <w:pPr>
              <w:pStyle w:val="17-tablecontent"/>
              <w:rPr>
                <w:color w:val="auto"/>
                <w:lang w:eastAsia="zh-CN"/>
              </w:rPr>
            </w:pPr>
          </w:p>
        </w:tc>
        <w:tc>
          <w:tcPr>
            <w:tcW w:w="230" w:type="pct"/>
            <w:tcBorders>
              <w:top w:val="single" w:sz="4" w:space="0" w:color="auto"/>
            </w:tcBorders>
            <w:vAlign w:val="center"/>
          </w:tcPr>
          <w:p w14:paraId="30C97FD3" w14:textId="77777777" w:rsidR="009907BA" w:rsidRPr="00803DAB" w:rsidRDefault="009907BA" w:rsidP="00F87A29">
            <w:pPr>
              <w:pStyle w:val="17-tablecontent"/>
              <w:rPr>
                <w:color w:val="auto"/>
                <w:lang w:eastAsia="zh-CN"/>
              </w:rPr>
            </w:pPr>
          </w:p>
        </w:tc>
        <w:tc>
          <w:tcPr>
            <w:tcW w:w="230" w:type="pct"/>
            <w:tcBorders>
              <w:top w:val="single" w:sz="4" w:space="0" w:color="auto"/>
            </w:tcBorders>
            <w:vAlign w:val="center"/>
          </w:tcPr>
          <w:p w14:paraId="3D3980AB" w14:textId="77777777" w:rsidR="009907BA" w:rsidRPr="00803DAB" w:rsidRDefault="009907BA" w:rsidP="00F87A29">
            <w:pPr>
              <w:pStyle w:val="17-tablecontent"/>
              <w:rPr>
                <w:color w:val="auto"/>
                <w:lang w:eastAsia="zh-CN"/>
              </w:rPr>
            </w:pPr>
            <w:r w:rsidRPr="00803DAB">
              <w:rPr>
                <w:color w:val="auto"/>
                <w:lang w:eastAsia="zh-CN"/>
              </w:rPr>
              <w:t>0.75</w:t>
            </w:r>
          </w:p>
        </w:tc>
        <w:tc>
          <w:tcPr>
            <w:tcW w:w="230" w:type="pct"/>
            <w:tcBorders>
              <w:top w:val="single" w:sz="4" w:space="0" w:color="auto"/>
            </w:tcBorders>
            <w:vAlign w:val="center"/>
          </w:tcPr>
          <w:p w14:paraId="6209F0BE" w14:textId="77777777" w:rsidR="009907BA" w:rsidRPr="00803DAB" w:rsidRDefault="009907BA" w:rsidP="00F87A29">
            <w:pPr>
              <w:pStyle w:val="17-tablecontent"/>
              <w:rPr>
                <w:color w:val="auto"/>
                <w:lang w:eastAsia="zh-CN"/>
              </w:rPr>
            </w:pPr>
            <w:r w:rsidRPr="00803DAB">
              <w:rPr>
                <w:color w:val="auto"/>
                <w:lang w:eastAsia="zh-CN"/>
              </w:rPr>
              <w:t>0.77</w:t>
            </w:r>
          </w:p>
        </w:tc>
        <w:tc>
          <w:tcPr>
            <w:tcW w:w="230" w:type="pct"/>
            <w:tcBorders>
              <w:top w:val="single" w:sz="4" w:space="0" w:color="auto"/>
            </w:tcBorders>
            <w:vAlign w:val="center"/>
          </w:tcPr>
          <w:p w14:paraId="326593F2" w14:textId="77777777" w:rsidR="009907BA" w:rsidRPr="00803DAB" w:rsidRDefault="009907BA" w:rsidP="00F87A29">
            <w:pPr>
              <w:pStyle w:val="17-tablecontent"/>
              <w:rPr>
                <w:color w:val="auto"/>
                <w:lang w:eastAsia="zh-CN"/>
              </w:rPr>
            </w:pPr>
            <w:r w:rsidRPr="00803DAB">
              <w:rPr>
                <w:color w:val="auto"/>
                <w:lang w:eastAsia="zh-CN"/>
              </w:rPr>
              <w:t>0.82</w:t>
            </w:r>
          </w:p>
        </w:tc>
        <w:tc>
          <w:tcPr>
            <w:tcW w:w="230" w:type="pct"/>
            <w:tcBorders>
              <w:top w:val="single" w:sz="4" w:space="0" w:color="auto"/>
            </w:tcBorders>
            <w:vAlign w:val="center"/>
          </w:tcPr>
          <w:p w14:paraId="7DE98C78" w14:textId="77777777" w:rsidR="009907BA" w:rsidRPr="00803DAB" w:rsidRDefault="009907BA" w:rsidP="00F87A29">
            <w:pPr>
              <w:pStyle w:val="17-tablecontent"/>
              <w:rPr>
                <w:color w:val="auto"/>
                <w:lang w:eastAsia="zh-CN"/>
              </w:rPr>
            </w:pPr>
            <w:r w:rsidRPr="00803DAB">
              <w:rPr>
                <w:color w:val="auto"/>
                <w:lang w:eastAsia="zh-CN"/>
              </w:rPr>
              <w:t>0.92</w:t>
            </w:r>
          </w:p>
        </w:tc>
        <w:tc>
          <w:tcPr>
            <w:tcW w:w="230" w:type="pct"/>
            <w:tcBorders>
              <w:top w:val="single" w:sz="4" w:space="0" w:color="auto"/>
            </w:tcBorders>
            <w:vAlign w:val="center"/>
          </w:tcPr>
          <w:p w14:paraId="03BEC478" w14:textId="77777777" w:rsidR="009907BA" w:rsidRPr="00803DAB" w:rsidRDefault="009907BA" w:rsidP="00F87A29">
            <w:pPr>
              <w:pStyle w:val="17-tablecontent"/>
              <w:rPr>
                <w:color w:val="auto"/>
                <w:lang w:eastAsia="zh-CN"/>
              </w:rPr>
            </w:pPr>
            <w:r w:rsidRPr="00803DAB">
              <w:rPr>
                <w:color w:val="auto"/>
                <w:lang w:eastAsia="zh-CN"/>
              </w:rPr>
              <w:t>0.95</w:t>
            </w:r>
          </w:p>
        </w:tc>
        <w:tc>
          <w:tcPr>
            <w:tcW w:w="230" w:type="pct"/>
            <w:tcBorders>
              <w:top w:val="single" w:sz="4" w:space="0" w:color="auto"/>
            </w:tcBorders>
            <w:vAlign w:val="center"/>
          </w:tcPr>
          <w:p w14:paraId="4883E039" w14:textId="77777777" w:rsidR="009907BA" w:rsidRPr="00803DAB" w:rsidRDefault="009907BA" w:rsidP="00F87A29">
            <w:pPr>
              <w:pStyle w:val="17-tablecontent"/>
              <w:rPr>
                <w:color w:val="auto"/>
                <w:lang w:eastAsia="zh-CN"/>
              </w:rPr>
            </w:pPr>
          </w:p>
        </w:tc>
        <w:tc>
          <w:tcPr>
            <w:tcW w:w="488" w:type="pct"/>
            <w:tcBorders>
              <w:top w:val="single" w:sz="4" w:space="0" w:color="auto"/>
            </w:tcBorders>
            <w:vAlign w:val="center"/>
          </w:tcPr>
          <w:p w14:paraId="063DC021" w14:textId="02C5B6CE"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{"citationItems":[{"id":"ITEM-1","itemData":{"DOI":"10.1016/j.tafmec.2014.04.004","ISSN":"01678442","abstract":"The mechanical behavior of rock is strongly dependent on its embedded discontinuities such as cracks and joints. Natural rock joints are found to exist mostly with filling materials such as sand or clay as weak bond. The filling has been observed in engineering practice to have influence on rock failure behavior. To investigate this topic, the crack propagation behavior of the filled and unfilled crack is studied and compared by testing rock-like specimens subjected to uniaxial compression. A qualitative analysis of the crack propagation paths is described where crack is classified into four types, namely the original, secondary, wing and anti-wing cracks. The experiments indicate the crack initiation time, initiation location and propagation behavior are different between filled and unfilled joints. The experimental results also showed that the peak stress for filled joint is higher than for the unfilled. Numerical tests simulating the experimental process are carried out using the extended finite element method (XFEM) to explore complementary explanations and provide proofs to the experiments.","author":[{"dropping-particle":"","family":"Zhuang","given":"Xiaoying","non-dropping-particle":"","parse-names":false,"suffix":""},{"dropping-particle":"","family":"Chun","given":"Junwei","non-dropping-particle":"","parse-names":false,"suffix":""},{"dropping-particle":"","family":"Zhu","given":"Hehua","non-dropping-particle":"","parse-names":false,"suffix":""}],"container-title":"Theoretical and Applied Fracture Mechanics","id":"ITEM-1","issue":"1","issued":{"date-parts":[["2014"]]},"page":"110-120","publisher":"Elsevier Ltd","title":"A comparative study on unfilled and filled crack propagation for rock-like brittle material","type":"article-journal","volume":"72"},"uris":["http://www.mendeley.com/documents/?uuid=efd2dcf3-5c4b-4d39-a650-1c05ab6c991c"]}],"mendeley":{"formattedCitation":"(Zhuang et al., 2014)","manualFormatting":"Zhuang et al. (2014","plainTextFormattedCitation":"(Zhuang et al., 2014)","previouslyFormattedCitation":"(Zhuang et al. 2014)"},"properties":{"noteIndex":0},"schema":"https://github.com/citation-style-language/schema/raw/master/csl-citation.json"}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Zhuang et al. (2014</w:t>
            </w:r>
            <w:r w:rsidRPr="00803DAB">
              <w:rPr>
                <w:color w:val="auto"/>
                <w:lang w:eastAsia="zh-CN"/>
              </w:rPr>
              <w:fldChar w:fldCharType="end"/>
            </w:r>
            <w:r w:rsidRPr="00803DAB">
              <w:rPr>
                <w:color w:val="auto"/>
                <w:lang w:eastAsia="zh-CN"/>
              </w:rPr>
              <w:t>)</w:t>
            </w:r>
          </w:p>
        </w:tc>
      </w:tr>
      <w:tr w:rsidR="009907BA" w:rsidRPr="00803DAB" w14:paraId="551D6B85" w14:textId="77777777" w:rsidTr="00F87A29">
        <w:tc>
          <w:tcPr>
            <w:tcW w:w="467" w:type="pct"/>
            <w:vAlign w:val="center"/>
          </w:tcPr>
          <w:p w14:paraId="4CA8D33F"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16" w:type="pct"/>
            <w:vAlign w:val="center"/>
          </w:tcPr>
          <w:p w14:paraId="03BCF660" w14:textId="77777777" w:rsidR="009907BA" w:rsidRPr="00803DAB" w:rsidRDefault="009907BA" w:rsidP="00F87A29">
            <w:pPr>
              <w:pStyle w:val="17-tablecontent"/>
              <w:rPr>
                <w:color w:val="auto"/>
                <w:lang w:eastAsia="zh-CN"/>
              </w:rPr>
            </w:pPr>
            <w:r w:rsidRPr="00803DAB">
              <w:rPr>
                <w:color w:val="auto"/>
                <w:lang w:eastAsia="zh-CN"/>
              </w:rPr>
              <w:t>27.21</w:t>
            </w:r>
          </w:p>
        </w:tc>
        <w:tc>
          <w:tcPr>
            <w:tcW w:w="302" w:type="pct"/>
            <w:shd w:val="clear" w:color="auto" w:fill="auto"/>
            <w:vAlign w:val="center"/>
          </w:tcPr>
          <w:p w14:paraId="0344763A" w14:textId="77777777" w:rsidR="009907BA" w:rsidRPr="00803DAB" w:rsidRDefault="009907BA" w:rsidP="00F87A29">
            <w:pPr>
              <w:pStyle w:val="17-tablecontent"/>
              <w:rPr>
                <w:color w:val="auto"/>
                <w:lang w:eastAsia="zh-CN"/>
              </w:rPr>
            </w:pPr>
            <w:r w:rsidRPr="00803DAB">
              <w:rPr>
                <w:color w:val="auto"/>
                <w:lang w:eastAsia="zh-CN"/>
              </w:rPr>
              <w:t xml:space="preserve">16.89 </w:t>
            </w:r>
          </w:p>
        </w:tc>
        <w:tc>
          <w:tcPr>
            <w:tcW w:w="302" w:type="pct"/>
            <w:shd w:val="clear" w:color="auto" w:fill="auto"/>
            <w:vAlign w:val="center"/>
          </w:tcPr>
          <w:p w14:paraId="74784F22" w14:textId="77777777" w:rsidR="009907BA" w:rsidRPr="00803DAB" w:rsidRDefault="009907BA" w:rsidP="00F87A29">
            <w:pPr>
              <w:pStyle w:val="17-tablecontent"/>
              <w:rPr>
                <w:color w:val="auto"/>
                <w:lang w:eastAsia="zh-CN"/>
              </w:rPr>
            </w:pPr>
            <w:r w:rsidRPr="00803DAB">
              <w:rPr>
                <w:color w:val="auto"/>
                <w:lang w:eastAsia="zh-CN"/>
              </w:rPr>
              <w:t xml:space="preserve">15.59 </w:t>
            </w:r>
          </w:p>
        </w:tc>
        <w:tc>
          <w:tcPr>
            <w:tcW w:w="302" w:type="pct"/>
            <w:shd w:val="clear" w:color="auto" w:fill="auto"/>
            <w:vAlign w:val="center"/>
          </w:tcPr>
          <w:p w14:paraId="4680B0CF" w14:textId="77777777" w:rsidR="009907BA" w:rsidRPr="00803DAB" w:rsidRDefault="009907BA" w:rsidP="00F87A29">
            <w:pPr>
              <w:pStyle w:val="17-tablecontent"/>
              <w:rPr>
                <w:color w:val="auto"/>
                <w:lang w:eastAsia="zh-CN"/>
              </w:rPr>
            </w:pPr>
            <w:r w:rsidRPr="00803DAB">
              <w:rPr>
                <w:color w:val="auto"/>
                <w:lang w:eastAsia="zh-CN"/>
              </w:rPr>
              <w:t xml:space="preserve">18.25 </w:t>
            </w:r>
          </w:p>
        </w:tc>
        <w:tc>
          <w:tcPr>
            <w:tcW w:w="302" w:type="pct"/>
            <w:shd w:val="clear" w:color="auto" w:fill="auto"/>
            <w:vAlign w:val="center"/>
          </w:tcPr>
          <w:p w14:paraId="520BBD81" w14:textId="77777777" w:rsidR="009907BA" w:rsidRPr="00803DAB" w:rsidRDefault="009907BA" w:rsidP="00F87A29">
            <w:pPr>
              <w:pStyle w:val="17-tablecontent"/>
              <w:rPr>
                <w:color w:val="auto"/>
                <w:lang w:eastAsia="zh-CN"/>
              </w:rPr>
            </w:pPr>
            <w:r w:rsidRPr="00803DAB">
              <w:rPr>
                <w:color w:val="auto"/>
                <w:lang w:eastAsia="zh-CN"/>
              </w:rPr>
              <w:t xml:space="preserve">19.34 </w:t>
            </w:r>
          </w:p>
        </w:tc>
        <w:tc>
          <w:tcPr>
            <w:tcW w:w="302" w:type="pct"/>
            <w:shd w:val="clear" w:color="auto" w:fill="auto"/>
            <w:vAlign w:val="center"/>
          </w:tcPr>
          <w:p w14:paraId="2771E292" w14:textId="77777777" w:rsidR="009907BA" w:rsidRPr="00803DAB" w:rsidRDefault="009907BA" w:rsidP="00F87A29">
            <w:pPr>
              <w:pStyle w:val="17-tablecontent"/>
              <w:rPr>
                <w:color w:val="auto"/>
                <w:lang w:eastAsia="zh-CN"/>
              </w:rPr>
            </w:pPr>
            <w:r w:rsidRPr="00803DAB">
              <w:rPr>
                <w:color w:val="auto"/>
                <w:lang w:eastAsia="zh-CN"/>
              </w:rPr>
              <w:t xml:space="preserve">21.65 </w:t>
            </w:r>
          </w:p>
        </w:tc>
        <w:tc>
          <w:tcPr>
            <w:tcW w:w="302" w:type="pct"/>
            <w:shd w:val="clear" w:color="auto" w:fill="auto"/>
            <w:vAlign w:val="center"/>
          </w:tcPr>
          <w:p w14:paraId="570DB34F" w14:textId="77777777" w:rsidR="009907BA" w:rsidRPr="00803DAB" w:rsidRDefault="009907BA" w:rsidP="00F87A29">
            <w:pPr>
              <w:pStyle w:val="17-tablecontent"/>
              <w:rPr>
                <w:color w:val="auto"/>
                <w:lang w:eastAsia="zh-CN"/>
              </w:rPr>
            </w:pPr>
            <w:r w:rsidRPr="00803DAB">
              <w:rPr>
                <w:color w:val="auto"/>
                <w:lang w:eastAsia="zh-CN"/>
              </w:rPr>
              <w:t xml:space="preserve">25.65 </w:t>
            </w:r>
          </w:p>
        </w:tc>
        <w:tc>
          <w:tcPr>
            <w:tcW w:w="302" w:type="pct"/>
            <w:shd w:val="clear" w:color="auto" w:fill="auto"/>
            <w:vAlign w:val="center"/>
          </w:tcPr>
          <w:p w14:paraId="43A4C759" w14:textId="77777777" w:rsidR="009907BA" w:rsidRPr="00803DAB" w:rsidRDefault="009907BA" w:rsidP="00F87A29">
            <w:pPr>
              <w:pStyle w:val="17-tablecontent"/>
              <w:rPr>
                <w:color w:val="auto"/>
                <w:lang w:eastAsia="zh-CN"/>
              </w:rPr>
            </w:pPr>
            <w:r w:rsidRPr="00803DAB">
              <w:rPr>
                <w:color w:val="auto"/>
                <w:lang w:eastAsia="zh-CN"/>
              </w:rPr>
              <w:t xml:space="preserve">26.94 </w:t>
            </w:r>
          </w:p>
        </w:tc>
        <w:tc>
          <w:tcPr>
            <w:tcW w:w="230" w:type="pct"/>
            <w:shd w:val="clear" w:color="auto" w:fill="auto"/>
            <w:vAlign w:val="center"/>
          </w:tcPr>
          <w:p w14:paraId="23807F85" w14:textId="77777777" w:rsidR="009907BA" w:rsidRPr="00803DAB" w:rsidRDefault="009907BA" w:rsidP="00F87A29">
            <w:pPr>
              <w:pStyle w:val="17-tablecontent"/>
              <w:rPr>
                <w:color w:val="auto"/>
                <w:lang w:eastAsia="zh-CN"/>
              </w:rPr>
            </w:pPr>
            <w:r w:rsidRPr="00803DAB">
              <w:rPr>
                <w:color w:val="auto"/>
                <w:lang w:eastAsia="zh-CN"/>
              </w:rPr>
              <w:t xml:space="preserve">0.62 </w:t>
            </w:r>
          </w:p>
        </w:tc>
        <w:tc>
          <w:tcPr>
            <w:tcW w:w="230" w:type="pct"/>
            <w:shd w:val="clear" w:color="auto" w:fill="auto"/>
            <w:vAlign w:val="center"/>
          </w:tcPr>
          <w:p w14:paraId="13A8D129" w14:textId="77777777" w:rsidR="009907BA" w:rsidRPr="00803DAB" w:rsidRDefault="009907BA" w:rsidP="00F87A29">
            <w:pPr>
              <w:pStyle w:val="17-tablecontent"/>
              <w:rPr>
                <w:color w:val="auto"/>
                <w:lang w:eastAsia="zh-CN"/>
              </w:rPr>
            </w:pPr>
            <w:r w:rsidRPr="00803DAB">
              <w:rPr>
                <w:color w:val="auto"/>
                <w:lang w:eastAsia="zh-CN"/>
              </w:rPr>
              <w:t xml:space="preserve">0.57 </w:t>
            </w:r>
          </w:p>
        </w:tc>
        <w:tc>
          <w:tcPr>
            <w:tcW w:w="230" w:type="pct"/>
            <w:shd w:val="clear" w:color="auto" w:fill="auto"/>
            <w:vAlign w:val="center"/>
          </w:tcPr>
          <w:p w14:paraId="4E6CBC14" w14:textId="77777777" w:rsidR="009907BA" w:rsidRPr="00803DAB" w:rsidRDefault="009907BA" w:rsidP="00F87A29">
            <w:pPr>
              <w:pStyle w:val="17-tablecontent"/>
              <w:rPr>
                <w:color w:val="auto"/>
                <w:lang w:eastAsia="zh-CN"/>
              </w:rPr>
            </w:pPr>
            <w:r w:rsidRPr="00803DAB">
              <w:rPr>
                <w:color w:val="auto"/>
                <w:lang w:eastAsia="zh-CN"/>
              </w:rPr>
              <w:t xml:space="preserve">0.67 </w:t>
            </w:r>
          </w:p>
        </w:tc>
        <w:tc>
          <w:tcPr>
            <w:tcW w:w="230" w:type="pct"/>
            <w:shd w:val="clear" w:color="auto" w:fill="auto"/>
            <w:vAlign w:val="center"/>
          </w:tcPr>
          <w:p w14:paraId="3C782F38" w14:textId="77777777" w:rsidR="009907BA" w:rsidRPr="00803DAB" w:rsidRDefault="009907BA" w:rsidP="00F87A29">
            <w:pPr>
              <w:pStyle w:val="17-tablecontent"/>
              <w:rPr>
                <w:color w:val="auto"/>
                <w:lang w:eastAsia="zh-CN"/>
              </w:rPr>
            </w:pPr>
            <w:r w:rsidRPr="00803DAB">
              <w:rPr>
                <w:color w:val="auto"/>
                <w:lang w:eastAsia="zh-CN"/>
              </w:rPr>
              <w:t xml:space="preserve">0.71 </w:t>
            </w:r>
          </w:p>
        </w:tc>
        <w:tc>
          <w:tcPr>
            <w:tcW w:w="230" w:type="pct"/>
            <w:shd w:val="clear" w:color="auto" w:fill="auto"/>
            <w:vAlign w:val="center"/>
          </w:tcPr>
          <w:p w14:paraId="69B85D05" w14:textId="77777777" w:rsidR="009907BA" w:rsidRPr="00803DAB" w:rsidRDefault="009907BA" w:rsidP="00F87A29">
            <w:pPr>
              <w:pStyle w:val="17-tablecontent"/>
              <w:rPr>
                <w:color w:val="auto"/>
                <w:lang w:eastAsia="zh-CN"/>
              </w:rPr>
            </w:pPr>
            <w:r w:rsidRPr="00803DAB">
              <w:rPr>
                <w:color w:val="auto"/>
                <w:lang w:eastAsia="zh-CN"/>
              </w:rPr>
              <w:t xml:space="preserve">0.80 </w:t>
            </w:r>
          </w:p>
        </w:tc>
        <w:tc>
          <w:tcPr>
            <w:tcW w:w="230" w:type="pct"/>
            <w:shd w:val="clear" w:color="auto" w:fill="auto"/>
            <w:vAlign w:val="center"/>
          </w:tcPr>
          <w:p w14:paraId="60D57550" w14:textId="77777777" w:rsidR="009907BA" w:rsidRPr="00803DAB" w:rsidRDefault="009907BA" w:rsidP="00F87A29">
            <w:pPr>
              <w:pStyle w:val="17-tablecontent"/>
              <w:rPr>
                <w:color w:val="auto"/>
                <w:lang w:eastAsia="zh-CN"/>
              </w:rPr>
            </w:pPr>
            <w:r w:rsidRPr="00803DAB">
              <w:rPr>
                <w:color w:val="auto"/>
                <w:lang w:eastAsia="zh-CN"/>
              </w:rPr>
              <w:t xml:space="preserve">0.94 </w:t>
            </w:r>
          </w:p>
        </w:tc>
        <w:tc>
          <w:tcPr>
            <w:tcW w:w="230" w:type="pct"/>
            <w:shd w:val="clear" w:color="auto" w:fill="auto"/>
            <w:vAlign w:val="center"/>
          </w:tcPr>
          <w:p w14:paraId="7802587F" w14:textId="77777777" w:rsidR="009907BA" w:rsidRPr="00803DAB" w:rsidRDefault="009907BA" w:rsidP="00F87A29">
            <w:pPr>
              <w:pStyle w:val="17-tablecontent"/>
              <w:rPr>
                <w:color w:val="auto"/>
                <w:lang w:eastAsia="zh-CN"/>
              </w:rPr>
            </w:pPr>
            <w:r w:rsidRPr="00803DAB">
              <w:rPr>
                <w:color w:val="auto"/>
                <w:lang w:eastAsia="zh-CN"/>
              </w:rPr>
              <w:t xml:space="preserve">0.99 </w:t>
            </w:r>
          </w:p>
        </w:tc>
        <w:tc>
          <w:tcPr>
            <w:tcW w:w="488" w:type="pct"/>
            <w:vAlign w:val="center"/>
          </w:tcPr>
          <w:p w14:paraId="0D0A098F" w14:textId="30BD4A87"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{"citationItems":[{"id":"ITEM-1","itemData":{"DOI":"10.1016/j.compgeo.2017.01.011","ISSN":"18737633","abstract":"This paper investigates the influence of a flaw on crack initiation, the failure mode, deformation field and energy mechanism of the rock-like material under uniaxial compression. The results of laboratory test and numerical simulation demonstrate the flaw inclination effect can be classified into three groups: 0–30°, 30–60° and 75–90°. The characteristic stresses increase as the flaw angle increases. The tensile cracks initiate from gentle flaws (α ⩽ 30°) and shear cracks appear at tips of steep flaws (α ⩾ 45°). The input energy, strain energy and dissipation energy of a specimen show approximate increasing trends as the flaw angle increases.","author":[{"dropping-particle":"","family":"Jin","given":"Jin","non-dropping-particle":"","parse-names":false,"suffix":""},{"dropping-particle":"","family":"Cao","given":"Ping","non-dropping-particle":"","parse-names":false,"suffix":""},{"dropping-particle":"","family":"Chen","given":"Yu","non-dropping-particle":"","parse-names":false,"suffix":""},{"dropping-particle":"","family":"Pu","given":"Chengzhi","non-dropping-particle":"","parse-names":false,"suffix":""},{"dropping-particle":"","family":"Mao","given":"Dawei","non-dropping-particle":"","parse-names":false,"suffix":""},{"dropping-particle":"","family":"Fan","given":"Xiang","non-dropping-particle":"","parse-names":false,"suffix":""}],"container-title":"Computers and Geotechnics","id":"ITEM-1","issued":{"date-parts":[["2017"]]},"page":"150-162","publisher":"Elsevier Ltd","title":"Influence of single flaw on the failure process and energy mechanics of rock-like material","type":"article-journal","volume":"86"},"uris":["http://www.mendeley.com/documents/?uuid=b76022d8-0ebc-48e7-bbc1-9bf6aac5e320"]}],"mendeley":{"formattedCitation":"(Jin et al., 2017)","manualFormatting":"Jin et al. (2017","plainTextFormattedCitation":"(Jin et al., 2017)","previouslyFormattedCitation":"(Jin et al. 2017)"},"properties":{"noteIndex":0},"schema":"https://github.com/citation-style-language/schema/raw/master/csl-citation.json"}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Jin et al. (2017</w:t>
            </w:r>
            <w:r w:rsidRPr="00803DAB">
              <w:rPr>
                <w:color w:val="auto"/>
                <w:lang w:eastAsia="zh-CN"/>
              </w:rPr>
              <w:fldChar w:fldCharType="end"/>
            </w:r>
            <w:r w:rsidRPr="00803DAB">
              <w:rPr>
                <w:color w:val="auto"/>
                <w:lang w:eastAsia="zh-CN"/>
              </w:rPr>
              <w:t>)</w:t>
            </w:r>
          </w:p>
        </w:tc>
      </w:tr>
      <w:tr w:rsidR="009907BA" w:rsidRPr="00803DAB" w14:paraId="38DAF401" w14:textId="77777777" w:rsidTr="00F87A29">
        <w:tc>
          <w:tcPr>
            <w:tcW w:w="467" w:type="pct"/>
            <w:vAlign w:val="center"/>
          </w:tcPr>
          <w:p w14:paraId="64B2AC79"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16" w:type="pct"/>
            <w:vAlign w:val="center"/>
          </w:tcPr>
          <w:p w14:paraId="358F9206" w14:textId="77777777" w:rsidR="009907BA" w:rsidRPr="00803DAB" w:rsidRDefault="009907BA" w:rsidP="00F87A29">
            <w:pPr>
              <w:pStyle w:val="17-tablecontent"/>
              <w:rPr>
                <w:color w:val="auto"/>
                <w:lang w:eastAsia="zh-CN"/>
              </w:rPr>
            </w:pPr>
            <w:r w:rsidRPr="00803DAB">
              <w:rPr>
                <w:color w:val="auto"/>
                <w:lang w:eastAsia="zh-CN"/>
              </w:rPr>
              <w:t>27.21</w:t>
            </w:r>
          </w:p>
        </w:tc>
        <w:tc>
          <w:tcPr>
            <w:tcW w:w="302" w:type="pct"/>
            <w:shd w:val="clear" w:color="auto" w:fill="auto"/>
            <w:vAlign w:val="center"/>
          </w:tcPr>
          <w:p w14:paraId="5FE1B184" w14:textId="77777777" w:rsidR="009907BA" w:rsidRPr="00803DAB" w:rsidRDefault="009907BA" w:rsidP="00F87A29">
            <w:pPr>
              <w:pStyle w:val="17-tablecontent"/>
              <w:rPr>
                <w:color w:val="auto"/>
                <w:lang w:eastAsia="zh-CN"/>
              </w:rPr>
            </w:pPr>
            <w:r w:rsidRPr="00803DAB">
              <w:rPr>
                <w:color w:val="auto"/>
                <w:lang w:eastAsia="zh-CN"/>
              </w:rPr>
              <w:t xml:space="preserve">16.61 </w:t>
            </w:r>
          </w:p>
        </w:tc>
        <w:tc>
          <w:tcPr>
            <w:tcW w:w="302" w:type="pct"/>
            <w:shd w:val="clear" w:color="auto" w:fill="auto"/>
            <w:vAlign w:val="center"/>
          </w:tcPr>
          <w:p w14:paraId="7063FDC6" w14:textId="77777777" w:rsidR="009907BA" w:rsidRPr="00803DAB" w:rsidRDefault="009907BA" w:rsidP="00F87A29">
            <w:pPr>
              <w:pStyle w:val="17-tablecontent"/>
              <w:rPr>
                <w:color w:val="auto"/>
                <w:lang w:eastAsia="zh-CN"/>
              </w:rPr>
            </w:pPr>
            <w:r w:rsidRPr="00803DAB">
              <w:rPr>
                <w:color w:val="auto"/>
                <w:lang w:eastAsia="zh-CN"/>
              </w:rPr>
              <w:t xml:space="preserve">14.25 </w:t>
            </w:r>
          </w:p>
        </w:tc>
        <w:tc>
          <w:tcPr>
            <w:tcW w:w="302" w:type="pct"/>
            <w:shd w:val="clear" w:color="auto" w:fill="auto"/>
            <w:vAlign w:val="center"/>
          </w:tcPr>
          <w:p w14:paraId="470B998D" w14:textId="77777777" w:rsidR="009907BA" w:rsidRPr="00803DAB" w:rsidRDefault="009907BA" w:rsidP="00F87A29">
            <w:pPr>
              <w:pStyle w:val="17-tablecontent"/>
              <w:rPr>
                <w:color w:val="auto"/>
                <w:lang w:eastAsia="zh-CN"/>
              </w:rPr>
            </w:pPr>
            <w:r w:rsidRPr="00803DAB">
              <w:rPr>
                <w:color w:val="auto"/>
                <w:lang w:eastAsia="zh-CN"/>
              </w:rPr>
              <w:t xml:space="preserve">16.58 </w:t>
            </w:r>
          </w:p>
        </w:tc>
        <w:tc>
          <w:tcPr>
            <w:tcW w:w="302" w:type="pct"/>
            <w:shd w:val="clear" w:color="auto" w:fill="auto"/>
            <w:vAlign w:val="center"/>
          </w:tcPr>
          <w:p w14:paraId="230EA38C" w14:textId="77777777" w:rsidR="009907BA" w:rsidRPr="00803DAB" w:rsidRDefault="009907BA" w:rsidP="00F87A29">
            <w:pPr>
              <w:pStyle w:val="17-tablecontent"/>
              <w:rPr>
                <w:color w:val="auto"/>
                <w:lang w:eastAsia="zh-CN"/>
              </w:rPr>
            </w:pPr>
            <w:r w:rsidRPr="00803DAB">
              <w:rPr>
                <w:color w:val="auto"/>
                <w:lang w:eastAsia="zh-CN"/>
              </w:rPr>
              <w:t xml:space="preserve">18.71 </w:t>
            </w:r>
          </w:p>
        </w:tc>
        <w:tc>
          <w:tcPr>
            <w:tcW w:w="302" w:type="pct"/>
            <w:shd w:val="clear" w:color="auto" w:fill="auto"/>
            <w:vAlign w:val="center"/>
          </w:tcPr>
          <w:p w14:paraId="03A4E5DD" w14:textId="77777777" w:rsidR="009907BA" w:rsidRPr="00803DAB" w:rsidRDefault="009907BA" w:rsidP="00F87A29">
            <w:pPr>
              <w:pStyle w:val="17-tablecontent"/>
              <w:rPr>
                <w:color w:val="auto"/>
                <w:lang w:eastAsia="zh-CN"/>
              </w:rPr>
            </w:pPr>
            <w:r w:rsidRPr="00803DAB">
              <w:rPr>
                <w:color w:val="auto"/>
                <w:lang w:eastAsia="zh-CN"/>
              </w:rPr>
              <w:t xml:space="preserve">19.59 </w:t>
            </w:r>
          </w:p>
        </w:tc>
        <w:tc>
          <w:tcPr>
            <w:tcW w:w="302" w:type="pct"/>
            <w:shd w:val="clear" w:color="auto" w:fill="auto"/>
            <w:vAlign w:val="center"/>
          </w:tcPr>
          <w:p w14:paraId="68130502" w14:textId="77777777" w:rsidR="009907BA" w:rsidRPr="00803DAB" w:rsidRDefault="009907BA" w:rsidP="00F87A29">
            <w:pPr>
              <w:pStyle w:val="17-tablecontent"/>
              <w:rPr>
                <w:color w:val="auto"/>
                <w:lang w:eastAsia="zh-CN"/>
              </w:rPr>
            </w:pPr>
            <w:r w:rsidRPr="00803DAB">
              <w:rPr>
                <w:color w:val="auto"/>
                <w:lang w:eastAsia="zh-CN"/>
              </w:rPr>
              <w:t xml:space="preserve">23.57 </w:t>
            </w:r>
          </w:p>
        </w:tc>
        <w:tc>
          <w:tcPr>
            <w:tcW w:w="302" w:type="pct"/>
            <w:shd w:val="clear" w:color="auto" w:fill="auto"/>
            <w:vAlign w:val="center"/>
          </w:tcPr>
          <w:p w14:paraId="3CB400A2" w14:textId="77777777" w:rsidR="009907BA" w:rsidRPr="00803DAB" w:rsidRDefault="009907BA" w:rsidP="00F87A29">
            <w:pPr>
              <w:pStyle w:val="17-tablecontent"/>
              <w:rPr>
                <w:color w:val="auto"/>
                <w:lang w:eastAsia="zh-CN"/>
              </w:rPr>
            </w:pPr>
            <w:r w:rsidRPr="00803DAB">
              <w:rPr>
                <w:color w:val="auto"/>
                <w:lang w:eastAsia="zh-CN"/>
              </w:rPr>
              <w:t xml:space="preserve">25.29 </w:t>
            </w:r>
          </w:p>
        </w:tc>
        <w:tc>
          <w:tcPr>
            <w:tcW w:w="230" w:type="pct"/>
            <w:shd w:val="clear" w:color="auto" w:fill="auto"/>
            <w:vAlign w:val="center"/>
          </w:tcPr>
          <w:p w14:paraId="608917B3" w14:textId="77777777" w:rsidR="009907BA" w:rsidRPr="00803DAB" w:rsidRDefault="009907BA" w:rsidP="00F87A29">
            <w:pPr>
              <w:pStyle w:val="17-tablecontent"/>
              <w:rPr>
                <w:color w:val="auto"/>
                <w:lang w:eastAsia="zh-CN"/>
              </w:rPr>
            </w:pPr>
            <w:r w:rsidRPr="00803DAB">
              <w:rPr>
                <w:color w:val="auto"/>
                <w:lang w:eastAsia="zh-CN"/>
              </w:rPr>
              <w:t xml:space="preserve">0.61 </w:t>
            </w:r>
          </w:p>
        </w:tc>
        <w:tc>
          <w:tcPr>
            <w:tcW w:w="230" w:type="pct"/>
            <w:shd w:val="clear" w:color="auto" w:fill="auto"/>
            <w:vAlign w:val="center"/>
          </w:tcPr>
          <w:p w14:paraId="065F077F" w14:textId="77777777" w:rsidR="009907BA" w:rsidRPr="00803DAB" w:rsidRDefault="009907BA" w:rsidP="00F87A29">
            <w:pPr>
              <w:pStyle w:val="17-tablecontent"/>
              <w:rPr>
                <w:color w:val="auto"/>
                <w:lang w:eastAsia="zh-CN"/>
              </w:rPr>
            </w:pPr>
            <w:r w:rsidRPr="00803DAB">
              <w:rPr>
                <w:color w:val="auto"/>
                <w:lang w:eastAsia="zh-CN"/>
              </w:rPr>
              <w:t xml:space="preserve">0.52 </w:t>
            </w:r>
          </w:p>
        </w:tc>
        <w:tc>
          <w:tcPr>
            <w:tcW w:w="230" w:type="pct"/>
            <w:shd w:val="clear" w:color="auto" w:fill="auto"/>
            <w:vAlign w:val="center"/>
          </w:tcPr>
          <w:p w14:paraId="06AF41F9" w14:textId="77777777" w:rsidR="009907BA" w:rsidRPr="00803DAB" w:rsidRDefault="009907BA" w:rsidP="00F87A29">
            <w:pPr>
              <w:pStyle w:val="17-tablecontent"/>
              <w:rPr>
                <w:color w:val="auto"/>
                <w:lang w:eastAsia="zh-CN"/>
              </w:rPr>
            </w:pPr>
            <w:r w:rsidRPr="00803DAB">
              <w:rPr>
                <w:color w:val="auto"/>
                <w:lang w:eastAsia="zh-CN"/>
              </w:rPr>
              <w:t xml:space="preserve">0.61 </w:t>
            </w:r>
          </w:p>
        </w:tc>
        <w:tc>
          <w:tcPr>
            <w:tcW w:w="230" w:type="pct"/>
            <w:shd w:val="clear" w:color="auto" w:fill="auto"/>
            <w:vAlign w:val="center"/>
          </w:tcPr>
          <w:p w14:paraId="0C828EBB" w14:textId="77777777" w:rsidR="009907BA" w:rsidRPr="00803DAB" w:rsidRDefault="009907BA" w:rsidP="00F87A29">
            <w:pPr>
              <w:pStyle w:val="17-tablecontent"/>
              <w:rPr>
                <w:color w:val="auto"/>
                <w:lang w:eastAsia="zh-CN"/>
              </w:rPr>
            </w:pPr>
            <w:r w:rsidRPr="00803DAB">
              <w:rPr>
                <w:color w:val="auto"/>
                <w:lang w:eastAsia="zh-CN"/>
              </w:rPr>
              <w:t xml:space="preserve">0.69 </w:t>
            </w:r>
          </w:p>
        </w:tc>
        <w:tc>
          <w:tcPr>
            <w:tcW w:w="230" w:type="pct"/>
            <w:shd w:val="clear" w:color="auto" w:fill="auto"/>
            <w:vAlign w:val="center"/>
          </w:tcPr>
          <w:p w14:paraId="07AA41ED" w14:textId="77777777" w:rsidR="009907BA" w:rsidRPr="00803DAB" w:rsidRDefault="009907BA" w:rsidP="00F87A29">
            <w:pPr>
              <w:pStyle w:val="17-tablecontent"/>
              <w:rPr>
                <w:color w:val="auto"/>
                <w:lang w:eastAsia="zh-CN"/>
              </w:rPr>
            </w:pPr>
            <w:r w:rsidRPr="00803DAB">
              <w:rPr>
                <w:color w:val="auto"/>
                <w:lang w:eastAsia="zh-CN"/>
              </w:rPr>
              <w:t xml:space="preserve">0.72 </w:t>
            </w:r>
          </w:p>
        </w:tc>
        <w:tc>
          <w:tcPr>
            <w:tcW w:w="230" w:type="pct"/>
            <w:shd w:val="clear" w:color="auto" w:fill="auto"/>
            <w:vAlign w:val="center"/>
          </w:tcPr>
          <w:p w14:paraId="29AFD819" w14:textId="77777777" w:rsidR="009907BA" w:rsidRPr="00803DAB" w:rsidRDefault="009907BA" w:rsidP="00F87A29">
            <w:pPr>
              <w:pStyle w:val="17-tablecontent"/>
              <w:rPr>
                <w:color w:val="auto"/>
                <w:lang w:eastAsia="zh-CN"/>
              </w:rPr>
            </w:pPr>
            <w:r w:rsidRPr="00803DAB">
              <w:rPr>
                <w:color w:val="auto"/>
                <w:lang w:eastAsia="zh-CN"/>
              </w:rPr>
              <w:t xml:space="preserve">0.87 </w:t>
            </w:r>
          </w:p>
        </w:tc>
        <w:tc>
          <w:tcPr>
            <w:tcW w:w="230" w:type="pct"/>
            <w:shd w:val="clear" w:color="auto" w:fill="auto"/>
            <w:vAlign w:val="center"/>
          </w:tcPr>
          <w:p w14:paraId="5A01F6FF" w14:textId="77777777" w:rsidR="009907BA" w:rsidRPr="00803DAB" w:rsidRDefault="009907BA" w:rsidP="00F87A29">
            <w:pPr>
              <w:pStyle w:val="17-tablecontent"/>
              <w:rPr>
                <w:color w:val="auto"/>
                <w:lang w:eastAsia="zh-CN"/>
              </w:rPr>
            </w:pPr>
            <w:r w:rsidRPr="00803DAB">
              <w:rPr>
                <w:color w:val="auto"/>
                <w:lang w:eastAsia="zh-CN"/>
              </w:rPr>
              <w:t xml:space="preserve">0.93 </w:t>
            </w:r>
          </w:p>
        </w:tc>
        <w:tc>
          <w:tcPr>
            <w:tcW w:w="488" w:type="pct"/>
            <w:vAlign w:val="center"/>
          </w:tcPr>
          <w:p w14:paraId="186D6C28" w14:textId="13183386"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{"citationItems":[{"id":"ITEM-1","itemData":{"DOI":"10.1016/j.compgeo.2017.01.011","ISSN":"18737633","abstract":"This paper investigates the influence of a flaw on crack initiation, the failure mode, deformation field and energy mechanism of the rock-like material under uniaxial compression. The results of laboratory test and numerical simulation demonstrate the flaw inclination effect can be classified into three groups: 0–30°, 30–60° and 75–90°. The characteristic stresses increase as the flaw angle increases. The tensile cracks initiate from gentle flaws (α ⩽ 30°) and shear cracks appear at tips of steep flaws (α ⩾ 45°). The input energy, strain energy and dissipation energy of a specimen show approximate increasing trends as the flaw angle increases.","author":[{"dropping-particle":"","family":"Jin","given":"Jin","non-dropping-particle":"","parse-names":false,"suffix":""},{"dropping-particle":"","family":"Cao","given":"Ping","non-dropping-particle":"","parse-names":false,"suffix":""},{"dropping-particle":"","family":"Chen","given":"Yu","non-dropping-particle":"","parse-names":false,"suffix":""},{"dropping-particle":"","family":"Pu","given":"Chengzhi","non-dropping-particle":"","parse-names":false,"suffix":""},{"dropping-particle":"","family":"Mao","given":"Dawei","non-dropping-particle":"","parse-names":false,"suffix":""},{"dropping-particle":"","family":"Fan","given":"Xiang","non-dropping-particle":"","parse-names":false,"suffix":""}],"container-title":"Computers and Geotechnics","id":"ITEM-1","issued":{"date-parts":[["2017"]]},"page":"150-162","publisher":"Elsevier Ltd","title":"Influence of single flaw on the failure process and energy mechanics of rock-like material","type":"article-journal","volume":"86"},"uris":["http://www.mendeley.com/documents/?uuid=b76022d8-0ebc-48e7-bbc1-9bf6aac5e320"]}],"mendeley":{"formattedCitation":"(Jin et al., 2017)","manualFormatting":"Jin et al. (2017","plainTextFormattedCitation":"(Jin et al., 2017)","previouslyFormattedCitation":"(Jin et al. 2017)"},"properties":{"noteIndex":0},"schema":"https://github.com/citation-style-language/schema/raw/master/csl-citation.json"}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Jin et al. (2017</w:t>
            </w:r>
            <w:r w:rsidRPr="00803DAB">
              <w:rPr>
                <w:color w:val="auto"/>
                <w:lang w:eastAsia="zh-CN"/>
              </w:rPr>
              <w:fldChar w:fldCharType="end"/>
            </w:r>
            <w:r w:rsidRPr="00803DAB">
              <w:rPr>
                <w:color w:val="auto"/>
                <w:lang w:eastAsia="zh-CN"/>
              </w:rPr>
              <w:t>)</w:t>
            </w:r>
          </w:p>
        </w:tc>
      </w:tr>
      <w:tr w:rsidR="009907BA" w:rsidRPr="00803DAB" w14:paraId="7984A82D" w14:textId="77777777" w:rsidTr="00F87A29">
        <w:tc>
          <w:tcPr>
            <w:tcW w:w="467" w:type="pct"/>
            <w:vAlign w:val="center"/>
          </w:tcPr>
          <w:p w14:paraId="42CF8A0D" w14:textId="77777777" w:rsidR="009907BA" w:rsidRPr="00803DAB" w:rsidRDefault="009907BA" w:rsidP="00F87A29">
            <w:pPr>
              <w:pStyle w:val="17-tablecontent"/>
              <w:rPr>
                <w:color w:val="auto"/>
                <w:lang w:eastAsia="zh-CN"/>
              </w:rPr>
            </w:pPr>
            <w:r w:rsidRPr="00803DAB">
              <w:rPr>
                <w:color w:val="auto"/>
                <w:lang w:eastAsia="zh-CN"/>
              </w:rPr>
              <w:t>Sandstone</w:t>
            </w:r>
          </w:p>
        </w:tc>
        <w:tc>
          <w:tcPr>
            <w:tcW w:w="316" w:type="pct"/>
            <w:vAlign w:val="center"/>
          </w:tcPr>
          <w:p w14:paraId="2EEFFDB3" w14:textId="77777777" w:rsidR="009907BA" w:rsidRPr="00803DAB" w:rsidRDefault="009907BA" w:rsidP="00F87A29">
            <w:pPr>
              <w:pStyle w:val="17-tablecontent"/>
              <w:rPr>
                <w:color w:val="auto"/>
                <w:lang w:eastAsia="zh-CN"/>
              </w:rPr>
            </w:pPr>
            <w:r w:rsidRPr="00803DAB">
              <w:rPr>
                <w:color w:val="auto"/>
                <w:lang w:eastAsia="zh-CN"/>
              </w:rPr>
              <w:t>~50</w:t>
            </w:r>
          </w:p>
        </w:tc>
        <w:tc>
          <w:tcPr>
            <w:tcW w:w="302" w:type="pct"/>
            <w:shd w:val="clear" w:color="auto" w:fill="auto"/>
            <w:vAlign w:val="center"/>
          </w:tcPr>
          <w:p w14:paraId="47E481DC" w14:textId="77777777" w:rsidR="009907BA" w:rsidRPr="00803DAB" w:rsidRDefault="009907BA" w:rsidP="00F87A29">
            <w:pPr>
              <w:pStyle w:val="17-tablecontent"/>
              <w:rPr>
                <w:color w:val="auto"/>
                <w:lang w:eastAsia="zh-CN"/>
              </w:rPr>
            </w:pPr>
            <w:r w:rsidRPr="00803DAB">
              <w:rPr>
                <w:color w:val="auto"/>
                <w:lang w:eastAsia="zh-CN"/>
              </w:rPr>
              <w:t xml:space="preserve">20.14 </w:t>
            </w:r>
          </w:p>
        </w:tc>
        <w:tc>
          <w:tcPr>
            <w:tcW w:w="302" w:type="pct"/>
            <w:shd w:val="clear" w:color="auto" w:fill="auto"/>
            <w:vAlign w:val="center"/>
          </w:tcPr>
          <w:p w14:paraId="2456B9DA" w14:textId="77777777" w:rsidR="009907BA" w:rsidRPr="00803DAB" w:rsidRDefault="009907BA" w:rsidP="00F87A29">
            <w:pPr>
              <w:pStyle w:val="17-tablecontent"/>
              <w:rPr>
                <w:color w:val="auto"/>
                <w:lang w:eastAsia="zh-CN"/>
              </w:rPr>
            </w:pPr>
            <w:r w:rsidRPr="00803DAB">
              <w:rPr>
                <w:color w:val="auto"/>
                <w:lang w:eastAsia="zh-CN"/>
              </w:rPr>
              <w:t xml:space="preserve">21.85 </w:t>
            </w:r>
          </w:p>
        </w:tc>
        <w:tc>
          <w:tcPr>
            <w:tcW w:w="302" w:type="pct"/>
            <w:shd w:val="clear" w:color="auto" w:fill="auto"/>
            <w:vAlign w:val="center"/>
          </w:tcPr>
          <w:p w14:paraId="2E24AD5F" w14:textId="77777777" w:rsidR="009907BA" w:rsidRPr="00803DAB" w:rsidRDefault="009907BA" w:rsidP="00F87A29">
            <w:pPr>
              <w:pStyle w:val="17-tablecontent"/>
              <w:rPr>
                <w:color w:val="auto"/>
                <w:lang w:eastAsia="zh-CN"/>
              </w:rPr>
            </w:pPr>
            <w:r w:rsidRPr="00803DAB">
              <w:rPr>
                <w:color w:val="auto"/>
                <w:lang w:eastAsia="zh-CN"/>
              </w:rPr>
              <w:t xml:space="preserve">25.37 </w:t>
            </w:r>
          </w:p>
        </w:tc>
        <w:tc>
          <w:tcPr>
            <w:tcW w:w="302" w:type="pct"/>
            <w:shd w:val="clear" w:color="auto" w:fill="auto"/>
            <w:vAlign w:val="center"/>
          </w:tcPr>
          <w:p w14:paraId="501BF2CC" w14:textId="77777777" w:rsidR="009907BA" w:rsidRPr="00803DAB" w:rsidRDefault="009907BA" w:rsidP="00F87A29">
            <w:pPr>
              <w:pStyle w:val="17-tablecontent"/>
              <w:rPr>
                <w:color w:val="auto"/>
                <w:lang w:eastAsia="zh-CN"/>
              </w:rPr>
            </w:pPr>
            <w:r w:rsidRPr="00803DAB">
              <w:rPr>
                <w:color w:val="auto"/>
                <w:lang w:eastAsia="zh-CN"/>
              </w:rPr>
              <w:t xml:space="preserve">29.84 </w:t>
            </w:r>
          </w:p>
        </w:tc>
        <w:tc>
          <w:tcPr>
            <w:tcW w:w="302" w:type="pct"/>
            <w:shd w:val="clear" w:color="auto" w:fill="auto"/>
            <w:vAlign w:val="center"/>
          </w:tcPr>
          <w:p w14:paraId="5B3E5B6B" w14:textId="77777777" w:rsidR="009907BA" w:rsidRPr="00803DAB" w:rsidRDefault="009907BA" w:rsidP="00F87A29">
            <w:pPr>
              <w:pStyle w:val="17-tablecontent"/>
              <w:rPr>
                <w:color w:val="auto"/>
                <w:lang w:eastAsia="zh-CN"/>
              </w:rPr>
            </w:pPr>
            <w:r w:rsidRPr="00803DAB">
              <w:rPr>
                <w:color w:val="auto"/>
                <w:lang w:eastAsia="zh-CN"/>
              </w:rPr>
              <w:t xml:space="preserve">35.48 </w:t>
            </w:r>
          </w:p>
        </w:tc>
        <w:tc>
          <w:tcPr>
            <w:tcW w:w="302" w:type="pct"/>
            <w:shd w:val="clear" w:color="auto" w:fill="auto"/>
            <w:vAlign w:val="center"/>
          </w:tcPr>
          <w:p w14:paraId="0245F383" w14:textId="77777777" w:rsidR="009907BA" w:rsidRPr="00803DAB" w:rsidRDefault="009907BA" w:rsidP="00F87A29">
            <w:pPr>
              <w:pStyle w:val="17-tablecontent"/>
              <w:rPr>
                <w:color w:val="auto"/>
                <w:lang w:eastAsia="zh-CN"/>
              </w:rPr>
            </w:pPr>
            <w:r w:rsidRPr="00803DAB">
              <w:rPr>
                <w:color w:val="auto"/>
                <w:lang w:eastAsia="zh-CN"/>
              </w:rPr>
              <w:t xml:space="preserve">41.01 </w:t>
            </w:r>
          </w:p>
        </w:tc>
        <w:tc>
          <w:tcPr>
            <w:tcW w:w="302" w:type="pct"/>
            <w:shd w:val="clear" w:color="auto" w:fill="auto"/>
            <w:vAlign w:val="center"/>
          </w:tcPr>
          <w:p w14:paraId="509BA1AF" w14:textId="77777777" w:rsidR="009907BA" w:rsidRPr="00803DAB" w:rsidRDefault="009907BA" w:rsidP="00F87A29">
            <w:pPr>
              <w:pStyle w:val="17-tablecontent"/>
              <w:rPr>
                <w:color w:val="auto"/>
                <w:lang w:eastAsia="zh-CN"/>
              </w:rPr>
            </w:pPr>
            <w:r w:rsidRPr="00803DAB">
              <w:rPr>
                <w:color w:val="auto"/>
                <w:lang w:eastAsia="zh-CN"/>
              </w:rPr>
              <w:t xml:space="preserve">48.13 </w:t>
            </w:r>
          </w:p>
        </w:tc>
        <w:tc>
          <w:tcPr>
            <w:tcW w:w="230" w:type="pct"/>
            <w:shd w:val="clear" w:color="auto" w:fill="auto"/>
            <w:vAlign w:val="center"/>
          </w:tcPr>
          <w:p w14:paraId="7D96A026" w14:textId="77777777" w:rsidR="009907BA" w:rsidRPr="00803DAB" w:rsidRDefault="009907BA" w:rsidP="00F87A29">
            <w:pPr>
              <w:pStyle w:val="17-tablecontent"/>
              <w:rPr>
                <w:color w:val="auto"/>
                <w:lang w:eastAsia="zh-CN"/>
              </w:rPr>
            </w:pPr>
            <w:r w:rsidRPr="00803DAB">
              <w:rPr>
                <w:color w:val="auto"/>
                <w:lang w:eastAsia="zh-CN"/>
              </w:rPr>
              <w:t>0.4</w:t>
            </w:r>
          </w:p>
        </w:tc>
        <w:tc>
          <w:tcPr>
            <w:tcW w:w="230" w:type="pct"/>
            <w:shd w:val="clear" w:color="auto" w:fill="auto"/>
            <w:vAlign w:val="center"/>
          </w:tcPr>
          <w:p w14:paraId="168AC007" w14:textId="77777777" w:rsidR="009907BA" w:rsidRPr="00803DAB" w:rsidRDefault="009907BA" w:rsidP="00F87A29">
            <w:pPr>
              <w:pStyle w:val="17-tablecontent"/>
              <w:rPr>
                <w:color w:val="auto"/>
                <w:lang w:eastAsia="zh-CN"/>
              </w:rPr>
            </w:pPr>
            <w:r w:rsidRPr="00803DAB">
              <w:rPr>
                <w:color w:val="auto"/>
                <w:lang w:eastAsia="zh-CN"/>
              </w:rPr>
              <w:t xml:space="preserve">0.44 </w:t>
            </w:r>
          </w:p>
        </w:tc>
        <w:tc>
          <w:tcPr>
            <w:tcW w:w="230" w:type="pct"/>
            <w:shd w:val="clear" w:color="auto" w:fill="auto"/>
            <w:vAlign w:val="center"/>
          </w:tcPr>
          <w:p w14:paraId="63F58782" w14:textId="77777777" w:rsidR="009907BA" w:rsidRPr="00803DAB" w:rsidRDefault="009907BA" w:rsidP="00F87A29">
            <w:pPr>
              <w:pStyle w:val="17-tablecontent"/>
              <w:rPr>
                <w:color w:val="auto"/>
                <w:lang w:eastAsia="zh-CN"/>
              </w:rPr>
            </w:pPr>
            <w:r w:rsidRPr="00803DAB">
              <w:rPr>
                <w:color w:val="auto"/>
                <w:lang w:eastAsia="zh-CN"/>
              </w:rPr>
              <w:t xml:space="preserve">0.51 </w:t>
            </w:r>
          </w:p>
        </w:tc>
        <w:tc>
          <w:tcPr>
            <w:tcW w:w="230" w:type="pct"/>
            <w:shd w:val="clear" w:color="auto" w:fill="auto"/>
            <w:vAlign w:val="center"/>
          </w:tcPr>
          <w:p w14:paraId="5D5C848E" w14:textId="77777777" w:rsidR="009907BA" w:rsidRPr="00803DAB" w:rsidRDefault="009907BA" w:rsidP="00F87A29">
            <w:pPr>
              <w:pStyle w:val="17-tablecontent"/>
              <w:rPr>
                <w:color w:val="auto"/>
                <w:lang w:eastAsia="zh-CN"/>
              </w:rPr>
            </w:pPr>
            <w:r w:rsidRPr="00803DAB">
              <w:rPr>
                <w:color w:val="auto"/>
                <w:lang w:eastAsia="zh-CN"/>
              </w:rPr>
              <w:t>0.6</w:t>
            </w:r>
          </w:p>
        </w:tc>
        <w:tc>
          <w:tcPr>
            <w:tcW w:w="230" w:type="pct"/>
            <w:shd w:val="clear" w:color="auto" w:fill="auto"/>
            <w:vAlign w:val="center"/>
          </w:tcPr>
          <w:p w14:paraId="41561EDE" w14:textId="77777777" w:rsidR="009907BA" w:rsidRPr="00803DAB" w:rsidRDefault="009907BA" w:rsidP="00F87A29">
            <w:pPr>
              <w:pStyle w:val="17-tablecontent"/>
              <w:rPr>
                <w:color w:val="auto"/>
                <w:lang w:eastAsia="zh-CN"/>
              </w:rPr>
            </w:pPr>
            <w:r w:rsidRPr="00803DAB">
              <w:rPr>
                <w:color w:val="auto"/>
                <w:lang w:eastAsia="zh-CN"/>
              </w:rPr>
              <w:t xml:space="preserve">0.71 </w:t>
            </w:r>
          </w:p>
        </w:tc>
        <w:tc>
          <w:tcPr>
            <w:tcW w:w="230" w:type="pct"/>
            <w:shd w:val="clear" w:color="auto" w:fill="auto"/>
            <w:vAlign w:val="center"/>
          </w:tcPr>
          <w:p w14:paraId="1FEAF7FA" w14:textId="77777777" w:rsidR="009907BA" w:rsidRPr="00803DAB" w:rsidRDefault="009907BA" w:rsidP="00F87A29">
            <w:pPr>
              <w:pStyle w:val="17-tablecontent"/>
              <w:rPr>
                <w:color w:val="auto"/>
                <w:lang w:eastAsia="zh-CN"/>
              </w:rPr>
            </w:pPr>
            <w:r w:rsidRPr="00803DAB">
              <w:rPr>
                <w:color w:val="auto"/>
                <w:lang w:eastAsia="zh-CN"/>
              </w:rPr>
              <w:t xml:space="preserve">0.82 </w:t>
            </w:r>
          </w:p>
        </w:tc>
        <w:tc>
          <w:tcPr>
            <w:tcW w:w="230" w:type="pct"/>
            <w:shd w:val="clear" w:color="auto" w:fill="auto"/>
            <w:vAlign w:val="center"/>
          </w:tcPr>
          <w:p w14:paraId="1437F6AF" w14:textId="77777777" w:rsidR="009907BA" w:rsidRPr="00803DAB" w:rsidRDefault="009907BA" w:rsidP="00F87A29">
            <w:pPr>
              <w:pStyle w:val="17-tablecontent"/>
              <w:rPr>
                <w:color w:val="auto"/>
                <w:lang w:eastAsia="zh-CN"/>
              </w:rPr>
            </w:pPr>
            <w:r w:rsidRPr="00803DAB">
              <w:rPr>
                <w:color w:val="auto"/>
                <w:lang w:eastAsia="zh-CN"/>
              </w:rPr>
              <w:t xml:space="preserve">0.96 </w:t>
            </w:r>
          </w:p>
        </w:tc>
        <w:tc>
          <w:tcPr>
            <w:tcW w:w="488" w:type="pct"/>
            <w:vAlign w:val="center"/>
          </w:tcPr>
          <w:p w14:paraId="41FF4847" w14:textId="6AD329EA"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{"citationItems":[{"id":"ITEM-1","itemData":{"DOI":"10.1016/j.engfracmech.2018.10.009","ISSN":"00137944","abstract":"Natural rock joints with infilling materials such as clay, broken rock fragments, or even cement mortar infusion material are common in the field of rock engineering. The fracture behavior of a rock with a filled flaw is related to both the flaw inclination and mechanical properties of the infilling materials. In this study, uniaxial compression experiments were performed for sandstone specimens with different flaw inclinations varying from 0° to 90° and four kinds of infilling conditions, including no filler, gypsum filler, cement filler, and resin filler were considered. The damage process of specimens was revealed and traced by acoustic emission (AE) and digital image correlation (DIC) to comprehensively understand the cracking evolution. Macroscopic cracking information was recorded with a high-resolution camera, and crack patterns were identified and classified. The influence of infilling material and flaw inclination on the sandstone cracking process was studied. The tensile stress was found to be suppressed due to the existence of infilling materials, and different infilling materials have different effects on the crack initiation stress. As a result, specimens with a filled flaw have larger crack initiation stress levels and smaller crack inclination angles than specimens with an unfilled flaw. The effects of infilling materials and flaw inclination angles on crack initiation are analyzed with a theoretical model based on the Coulomb friction law. The compressibility effect of infilling materials on the cracking behavior is also investigated through displacement and strain fields.","author":[{"dropping-particle":"","family":"Miao","given":"Shuting","non-dropping-particle":"","parse-names":false,"suffix":""},{"dropping-particle":"","family":"Pan","given":"Peng Zhi","non-dropping-particle":"","parse-names":false,"suffix":""},{"dropping-particle":"","family":"Wu","given":"Zhenhua","non-dropping-particle":"","parse-names":false,"suffix":""},{"dropping-particle":"","family":"Li","given":"Shaojun","non-dropping-particle":"","parse-names":false,"suffix":""},{"dropping-particle":"","family":"Zhao","given":"Shankun","non-dropping-particle":"","parse-names":false,"suffix":""}],"container-title":"Engineering Fracture Mechanics","id":"ITEM-1","issue":"June","issued":{"date-parts":[["2018"]]},"page":"319-343","title":"Fracture analysis of sandstone with a single filled flaw under uniaxial compression","type":"article-journal","volume":"204"},"uris":["http://www.mendeley.com/documents/?uuid=c378291c-e5c1-4f59-8f78-68498f1bf6f5"]}],"mendeley":{"formattedCitation":"(Miao et al., 2018)","manualFormatting":"Miao et al. (2018","plainTextFormattedCitation":"(Miao et al., 2018)","previouslyFormattedCitation":"(Miao et al. 2018)"},"properties":{"noteIndex":0},"schema":"https://github.com/citation-style-language/schema/raw/master/csl-citation.json"}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Miao et al. (2018</w:t>
            </w:r>
            <w:r w:rsidRPr="00803DAB">
              <w:rPr>
                <w:color w:val="auto"/>
                <w:lang w:eastAsia="zh-CN"/>
              </w:rPr>
              <w:fldChar w:fldCharType="end"/>
            </w:r>
            <w:r w:rsidRPr="00803DAB">
              <w:rPr>
                <w:color w:val="auto"/>
                <w:lang w:eastAsia="zh-CN"/>
              </w:rPr>
              <w:t>)</w:t>
            </w:r>
          </w:p>
        </w:tc>
      </w:tr>
      <w:tr w:rsidR="009907BA" w:rsidRPr="00803DAB" w14:paraId="38229C88" w14:textId="77777777" w:rsidTr="00F87A29">
        <w:tc>
          <w:tcPr>
            <w:tcW w:w="467" w:type="pct"/>
            <w:vAlign w:val="center"/>
          </w:tcPr>
          <w:p w14:paraId="7134C520" w14:textId="77777777" w:rsidR="009907BA" w:rsidRPr="00803DAB" w:rsidRDefault="009907BA" w:rsidP="00F87A29">
            <w:pPr>
              <w:pStyle w:val="17-tablecontent"/>
              <w:rPr>
                <w:color w:val="auto"/>
                <w:lang w:eastAsia="zh-CN"/>
              </w:rPr>
            </w:pPr>
            <w:r w:rsidRPr="00803DAB">
              <w:rPr>
                <w:color w:val="auto"/>
                <w:lang w:eastAsia="zh-CN"/>
              </w:rPr>
              <w:t>Sandstone</w:t>
            </w:r>
          </w:p>
        </w:tc>
        <w:tc>
          <w:tcPr>
            <w:tcW w:w="316" w:type="pct"/>
            <w:vAlign w:val="center"/>
          </w:tcPr>
          <w:p w14:paraId="107B435B" w14:textId="77777777" w:rsidR="009907BA" w:rsidRPr="00803DAB" w:rsidRDefault="009907BA" w:rsidP="00F87A29">
            <w:pPr>
              <w:pStyle w:val="17-tablecontent"/>
              <w:rPr>
                <w:color w:val="auto"/>
                <w:lang w:eastAsia="zh-CN"/>
              </w:rPr>
            </w:pPr>
            <w:r w:rsidRPr="00803DAB">
              <w:rPr>
                <w:color w:val="auto"/>
                <w:lang w:eastAsia="zh-CN"/>
              </w:rPr>
              <w:t>212.08</w:t>
            </w:r>
          </w:p>
        </w:tc>
        <w:tc>
          <w:tcPr>
            <w:tcW w:w="302" w:type="pct"/>
            <w:vAlign w:val="center"/>
          </w:tcPr>
          <w:p w14:paraId="63D3AEBB" w14:textId="77777777" w:rsidR="009907BA" w:rsidRPr="00803DAB" w:rsidRDefault="009907BA" w:rsidP="00F87A29">
            <w:pPr>
              <w:pStyle w:val="17-tablecontent"/>
              <w:rPr>
                <w:color w:val="auto"/>
                <w:lang w:eastAsia="zh-CN"/>
              </w:rPr>
            </w:pPr>
          </w:p>
        </w:tc>
        <w:tc>
          <w:tcPr>
            <w:tcW w:w="302" w:type="pct"/>
            <w:vAlign w:val="center"/>
          </w:tcPr>
          <w:p w14:paraId="4AE3305F" w14:textId="77777777" w:rsidR="009907BA" w:rsidRPr="00803DAB" w:rsidRDefault="009907BA" w:rsidP="00F87A29">
            <w:pPr>
              <w:pStyle w:val="17-tablecontent"/>
              <w:rPr>
                <w:color w:val="auto"/>
                <w:lang w:eastAsia="zh-CN"/>
              </w:rPr>
            </w:pPr>
            <w:r w:rsidRPr="00803DAB">
              <w:rPr>
                <w:color w:val="auto"/>
                <w:lang w:eastAsia="zh-CN"/>
              </w:rPr>
              <w:t>139.28</w:t>
            </w:r>
          </w:p>
        </w:tc>
        <w:tc>
          <w:tcPr>
            <w:tcW w:w="302" w:type="pct"/>
            <w:vAlign w:val="center"/>
          </w:tcPr>
          <w:p w14:paraId="08C390B2" w14:textId="77777777" w:rsidR="009907BA" w:rsidRPr="00803DAB" w:rsidRDefault="009907BA" w:rsidP="00F87A29">
            <w:pPr>
              <w:pStyle w:val="17-tablecontent"/>
              <w:rPr>
                <w:color w:val="auto"/>
                <w:lang w:eastAsia="zh-CN"/>
              </w:rPr>
            </w:pPr>
          </w:p>
        </w:tc>
        <w:tc>
          <w:tcPr>
            <w:tcW w:w="302" w:type="pct"/>
            <w:vAlign w:val="center"/>
          </w:tcPr>
          <w:p w14:paraId="5192AA85" w14:textId="77777777" w:rsidR="009907BA" w:rsidRPr="00803DAB" w:rsidRDefault="009907BA" w:rsidP="00F87A29">
            <w:pPr>
              <w:pStyle w:val="17-tablecontent"/>
              <w:rPr>
                <w:color w:val="auto"/>
                <w:lang w:eastAsia="zh-CN"/>
              </w:rPr>
            </w:pPr>
            <w:r w:rsidRPr="00803DAB">
              <w:rPr>
                <w:color w:val="auto"/>
                <w:lang w:eastAsia="zh-CN"/>
              </w:rPr>
              <w:t>115.17</w:t>
            </w:r>
          </w:p>
        </w:tc>
        <w:tc>
          <w:tcPr>
            <w:tcW w:w="302" w:type="pct"/>
            <w:vAlign w:val="center"/>
          </w:tcPr>
          <w:p w14:paraId="02A49074" w14:textId="77777777" w:rsidR="009907BA" w:rsidRPr="00803DAB" w:rsidRDefault="009907BA" w:rsidP="00F87A29">
            <w:pPr>
              <w:pStyle w:val="17-tablecontent"/>
              <w:rPr>
                <w:color w:val="auto"/>
                <w:lang w:eastAsia="zh-CN"/>
              </w:rPr>
            </w:pPr>
            <w:r w:rsidRPr="00803DAB">
              <w:rPr>
                <w:color w:val="auto"/>
                <w:lang w:eastAsia="zh-CN"/>
              </w:rPr>
              <w:t>149.96</w:t>
            </w:r>
          </w:p>
        </w:tc>
        <w:tc>
          <w:tcPr>
            <w:tcW w:w="302" w:type="pct"/>
            <w:vAlign w:val="center"/>
          </w:tcPr>
          <w:p w14:paraId="7E466756" w14:textId="77777777" w:rsidR="009907BA" w:rsidRPr="00803DAB" w:rsidRDefault="009907BA" w:rsidP="00F87A29">
            <w:pPr>
              <w:pStyle w:val="17-tablecontent"/>
              <w:rPr>
                <w:color w:val="auto"/>
                <w:lang w:eastAsia="zh-CN"/>
              </w:rPr>
            </w:pPr>
            <w:r w:rsidRPr="00803DAB">
              <w:rPr>
                <w:color w:val="auto"/>
                <w:lang w:eastAsia="zh-CN"/>
              </w:rPr>
              <w:t>181.71</w:t>
            </w:r>
          </w:p>
        </w:tc>
        <w:tc>
          <w:tcPr>
            <w:tcW w:w="302" w:type="pct"/>
            <w:vAlign w:val="center"/>
          </w:tcPr>
          <w:p w14:paraId="6DF74D18" w14:textId="77777777" w:rsidR="009907BA" w:rsidRPr="00803DAB" w:rsidRDefault="009907BA" w:rsidP="00F87A29">
            <w:pPr>
              <w:pStyle w:val="17-tablecontent"/>
              <w:rPr>
                <w:color w:val="auto"/>
                <w:lang w:eastAsia="zh-CN"/>
              </w:rPr>
            </w:pPr>
          </w:p>
        </w:tc>
        <w:tc>
          <w:tcPr>
            <w:tcW w:w="230" w:type="pct"/>
            <w:vAlign w:val="center"/>
          </w:tcPr>
          <w:p w14:paraId="4355966B" w14:textId="77777777" w:rsidR="009907BA" w:rsidRPr="00803DAB" w:rsidRDefault="009907BA" w:rsidP="00F87A29">
            <w:pPr>
              <w:pStyle w:val="17-tablecontent"/>
              <w:rPr>
                <w:color w:val="auto"/>
                <w:lang w:eastAsia="zh-CN"/>
              </w:rPr>
            </w:pPr>
          </w:p>
        </w:tc>
        <w:tc>
          <w:tcPr>
            <w:tcW w:w="230" w:type="pct"/>
            <w:vAlign w:val="center"/>
          </w:tcPr>
          <w:p w14:paraId="457854B9" w14:textId="77777777" w:rsidR="009907BA" w:rsidRPr="00803DAB" w:rsidRDefault="009907BA" w:rsidP="00F87A29">
            <w:pPr>
              <w:pStyle w:val="17-tablecontent"/>
              <w:rPr>
                <w:color w:val="auto"/>
                <w:lang w:eastAsia="zh-CN"/>
              </w:rPr>
            </w:pPr>
            <w:r w:rsidRPr="00803DAB">
              <w:rPr>
                <w:color w:val="auto"/>
                <w:lang w:eastAsia="zh-CN"/>
              </w:rPr>
              <w:t>0.86</w:t>
            </w:r>
          </w:p>
        </w:tc>
        <w:tc>
          <w:tcPr>
            <w:tcW w:w="230" w:type="pct"/>
            <w:vAlign w:val="center"/>
          </w:tcPr>
          <w:p w14:paraId="34570C7B" w14:textId="77777777" w:rsidR="009907BA" w:rsidRPr="00803DAB" w:rsidRDefault="009907BA" w:rsidP="00F87A29">
            <w:pPr>
              <w:pStyle w:val="17-tablecontent"/>
              <w:rPr>
                <w:color w:val="auto"/>
                <w:lang w:eastAsia="zh-CN"/>
              </w:rPr>
            </w:pPr>
          </w:p>
        </w:tc>
        <w:tc>
          <w:tcPr>
            <w:tcW w:w="230" w:type="pct"/>
            <w:vAlign w:val="center"/>
          </w:tcPr>
          <w:p w14:paraId="0A86AB45" w14:textId="77777777" w:rsidR="009907BA" w:rsidRPr="00803DAB" w:rsidRDefault="009907BA" w:rsidP="00F87A29">
            <w:pPr>
              <w:pStyle w:val="17-tablecontent"/>
              <w:rPr>
                <w:color w:val="auto"/>
                <w:lang w:eastAsia="zh-CN"/>
              </w:rPr>
            </w:pPr>
            <w:r w:rsidRPr="00803DAB">
              <w:rPr>
                <w:color w:val="auto"/>
                <w:lang w:eastAsia="zh-CN"/>
              </w:rPr>
              <w:t>0.54</w:t>
            </w:r>
          </w:p>
        </w:tc>
        <w:tc>
          <w:tcPr>
            <w:tcW w:w="230" w:type="pct"/>
            <w:vAlign w:val="center"/>
          </w:tcPr>
          <w:p w14:paraId="6B652EB6" w14:textId="77777777" w:rsidR="009907BA" w:rsidRPr="00803DAB" w:rsidRDefault="009907BA" w:rsidP="00F87A29">
            <w:pPr>
              <w:pStyle w:val="17-tablecontent"/>
              <w:rPr>
                <w:color w:val="auto"/>
                <w:lang w:eastAsia="zh-CN"/>
              </w:rPr>
            </w:pPr>
            <w:r w:rsidRPr="00803DAB">
              <w:rPr>
                <w:color w:val="auto"/>
                <w:lang w:eastAsia="zh-CN"/>
              </w:rPr>
              <w:t>0.71</w:t>
            </w:r>
          </w:p>
        </w:tc>
        <w:tc>
          <w:tcPr>
            <w:tcW w:w="230" w:type="pct"/>
            <w:vAlign w:val="center"/>
          </w:tcPr>
          <w:p w14:paraId="23BDE23F" w14:textId="77777777" w:rsidR="009907BA" w:rsidRPr="00803DAB" w:rsidRDefault="009907BA" w:rsidP="00F87A29">
            <w:pPr>
              <w:pStyle w:val="17-tablecontent"/>
              <w:rPr>
                <w:color w:val="auto"/>
                <w:lang w:eastAsia="zh-CN"/>
              </w:rPr>
            </w:pPr>
            <w:r w:rsidRPr="00803DAB">
              <w:rPr>
                <w:color w:val="auto"/>
                <w:lang w:eastAsia="zh-CN"/>
              </w:rPr>
              <w:t>0.86</w:t>
            </w:r>
          </w:p>
        </w:tc>
        <w:tc>
          <w:tcPr>
            <w:tcW w:w="230" w:type="pct"/>
            <w:vAlign w:val="center"/>
          </w:tcPr>
          <w:p w14:paraId="469D548B" w14:textId="77777777" w:rsidR="009907BA" w:rsidRPr="00803DAB" w:rsidRDefault="009907BA" w:rsidP="00F87A29">
            <w:pPr>
              <w:pStyle w:val="17-tablecontent"/>
              <w:rPr>
                <w:color w:val="auto"/>
                <w:lang w:eastAsia="zh-CN"/>
              </w:rPr>
            </w:pPr>
          </w:p>
        </w:tc>
        <w:tc>
          <w:tcPr>
            <w:tcW w:w="488" w:type="pct"/>
            <w:vAlign w:val="center"/>
          </w:tcPr>
          <w:p w14:paraId="1CC1212E" w14:textId="0053EB0D"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{"citationItems":[{"id":"ITEM-1","itemData":{"DOI":"10.1007/s10704-010-9576-4","ISSN":"03769429","abstract":"Uniaxial compression experiments were performed for brittle sandstone samples containing a single fissure by a rock mechanics servo-controlled testing system. Based on the experimental results of axial stress-axial strain curves, the influence of single fissure geometry on the strength and deformation behavior of sandstone samples is analyzed in detail. Compared with the intact sandstone sample, the sandstone samples containing a single fissure show the localization deformation failure. The uniaxial compressive strength, Young's modulus and peak axial strain of sandstone samples with pre-existing single fissure are all lower than that of intact sandstone sample, which is closely related to the fissure length and fissure angle. The crack coalescence was observed and characterized from tips of pre-existing single fissure in brittle sandstone sample. Nine different crack types are identified based on their geometry and crack propagation mechanism (tensile, shear, lateral crack, far-field crack and surface spalling) for single fissure, which can be used to analyze the failure mode and cracking process of sandstone sample containing a single fissure under uniaxial compression. To confirm the subsequence of crack coalescence in sandstone sample, the photographic monitoring and acoustic emission (AE) technique were adopted for uniaxial compression test. The real-time crack coalescence process of sandstone containing a single fissure was recorded during the whole loading. In the end, the influence of the crack coalescence on the strength and deformation failure behavior of brittle sandstone sample containing a single fissure is analyzed under uniaxial compression. The present research is helpful to understand the failure behavior and fracture mechanism of engineering rock mass (such as slope instability and underground rock burst). © 2010 Springer Science+Business Media B.V.","author":[{"dropping-particle":"","family":"Yang","given":"Sheng Qi","non-dropping-particle":"","parse-names":false,"suffix":""},{"dropping-particle":"","family":"Jing","given":"Hong Wen","non-dropping-particle":"","parse-names":false,"suffix":""}],"container-title":"International Journal of Fracture","id":"ITEM-1","issue":"2","issued":{"date-parts":[["2011"]]},"page":"227-250","title":"Strength failure and crack coalescence behavior of brittle sandstone samples containing a single fissure under uniaxial compression","type":"article-journal","volume":"168"},"uris":["http://www.mendeley.com/documents/?uuid=75a2aacb-8b0a-488c-b6f4-866467c16c15"]}],"mendeley":{"formattedCitation":"(Yang and Jing, 2011)","manualFormatting":"Yang and Jing (2011","plainTextFormattedCitation":"(Yang and Jing, 2011)","previouslyFormattedCitation":"(Yang and Jing 2011)"},"properties":{"noteIndex":0},"schema":"https://github.com/citation-style-language/schema/raw/master/csl-citation.json"}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and Jing (2011</w:t>
            </w:r>
            <w:r w:rsidRPr="00803DAB">
              <w:rPr>
                <w:color w:val="auto"/>
                <w:lang w:eastAsia="zh-CN"/>
              </w:rPr>
              <w:fldChar w:fldCharType="end"/>
            </w:r>
            <w:r w:rsidRPr="00803DAB">
              <w:rPr>
                <w:color w:val="auto"/>
                <w:lang w:eastAsia="zh-CN"/>
              </w:rPr>
              <w:t>)</w:t>
            </w:r>
          </w:p>
        </w:tc>
      </w:tr>
      <w:tr w:rsidR="009907BA" w:rsidRPr="00803DAB" w14:paraId="35E655CD" w14:textId="77777777" w:rsidTr="00F87A29">
        <w:tc>
          <w:tcPr>
            <w:tcW w:w="467" w:type="pct"/>
            <w:vAlign w:val="center"/>
          </w:tcPr>
          <w:p w14:paraId="22DBD770" w14:textId="77777777" w:rsidR="009907BA" w:rsidRPr="00803DAB" w:rsidRDefault="009907BA" w:rsidP="00F87A29">
            <w:pPr>
              <w:pStyle w:val="17-tablecontent"/>
              <w:rPr>
                <w:color w:val="auto"/>
                <w:lang w:eastAsia="zh-CN"/>
              </w:rPr>
            </w:pPr>
            <w:r w:rsidRPr="00803DAB">
              <w:rPr>
                <w:color w:val="auto"/>
                <w:lang w:eastAsia="zh-CN"/>
              </w:rPr>
              <w:t xml:space="preserve">Sandstone </w:t>
            </w:r>
          </w:p>
        </w:tc>
        <w:tc>
          <w:tcPr>
            <w:tcW w:w="316" w:type="pct"/>
            <w:vAlign w:val="center"/>
          </w:tcPr>
          <w:p w14:paraId="66E4A8D8" w14:textId="77777777" w:rsidR="009907BA" w:rsidRPr="00803DAB" w:rsidRDefault="009907BA" w:rsidP="00F87A29">
            <w:pPr>
              <w:pStyle w:val="17-tablecontent"/>
              <w:rPr>
                <w:color w:val="auto"/>
                <w:lang w:eastAsia="zh-CN"/>
              </w:rPr>
            </w:pPr>
            <w:r w:rsidRPr="00803DAB">
              <w:rPr>
                <w:color w:val="auto"/>
                <w:lang w:eastAsia="zh-CN"/>
              </w:rPr>
              <w:t>~72.3</w:t>
            </w:r>
          </w:p>
        </w:tc>
        <w:tc>
          <w:tcPr>
            <w:tcW w:w="302" w:type="pct"/>
            <w:vAlign w:val="center"/>
          </w:tcPr>
          <w:p w14:paraId="6D2E5968" w14:textId="77777777" w:rsidR="009907BA" w:rsidRPr="00803DAB" w:rsidRDefault="009907BA" w:rsidP="00F87A29">
            <w:pPr>
              <w:pStyle w:val="17-tablecontent"/>
              <w:rPr>
                <w:color w:val="auto"/>
                <w:lang w:eastAsia="zh-CN"/>
              </w:rPr>
            </w:pPr>
          </w:p>
        </w:tc>
        <w:tc>
          <w:tcPr>
            <w:tcW w:w="302" w:type="pct"/>
            <w:shd w:val="clear" w:color="auto" w:fill="auto"/>
            <w:vAlign w:val="center"/>
          </w:tcPr>
          <w:p w14:paraId="2628DD0C" w14:textId="77777777" w:rsidR="009907BA" w:rsidRPr="00803DAB" w:rsidRDefault="009907BA" w:rsidP="00F87A29">
            <w:pPr>
              <w:pStyle w:val="17-tablecontent"/>
              <w:rPr>
                <w:color w:val="auto"/>
                <w:lang w:eastAsia="zh-CN"/>
              </w:rPr>
            </w:pPr>
            <w:r w:rsidRPr="00803DAB">
              <w:rPr>
                <w:color w:val="auto"/>
                <w:lang w:eastAsia="zh-CN"/>
              </w:rPr>
              <w:t xml:space="preserve">42.96 </w:t>
            </w:r>
          </w:p>
        </w:tc>
        <w:tc>
          <w:tcPr>
            <w:tcW w:w="302" w:type="pct"/>
            <w:shd w:val="clear" w:color="auto" w:fill="auto"/>
            <w:vAlign w:val="center"/>
          </w:tcPr>
          <w:p w14:paraId="08B4EF5A" w14:textId="77777777" w:rsidR="009907BA" w:rsidRPr="00803DAB" w:rsidRDefault="009907BA" w:rsidP="00F87A29">
            <w:pPr>
              <w:pStyle w:val="17-tablecontent"/>
              <w:rPr>
                <w:color w:val="auto"/>
                <w:lang w:eastAsia="zh-CN"/>
              </w:rPr>
            </w:pPr>
            <w:r w:rsidRPr="00803DAB">
              <w:rPr>
                <w:color w:val="auto"/>
                <w:lang w:eastAsia="zh-CN"/>
              </w:rPr>
              <w:t xml:space="preserve">44.11 </w:t>
            </w:r>
          </w:p>
        </w:tc>
        <w:tc>
          <w:tcPr>
            <w:tcW w:w="302" w:type="pct"/>
            <w:shd w:val="clear" w:color="auto" w:fill="auto"/>
            <w:vAlign w:val="center"/>
          </w:tcPr>
          <w:p w14:paraId="204F08F1" w14:textId="77777777" w:rsidR="009907BA" w:rsidRPr="00803DAB" w:rsidRDefault="009907BA" w:rsidP="00F87A29">
            <w:pPr>
              <w:pStyle w:val="17-tablecontent"/>
              <w:rPr>
                <w:color w:val="auto"/>
                <w:lang w:eastAsia="zh-CN"/>
              </w:rPr>
            </w:pPr>
            <w:r w:rsidRPr="00803DAB">
              <w:rPr>
                <w:color w:val="auto"/>
                <w:lang w:eastAsia="zh-CN"/>
              </w:rPr>
              <w:t xml:space="preserve">50.21 </w:t>
            </w:r>
          </w:p>
        </w:tc>
        <w:tc>
          <w:tcPr>
            <w:tcW w:w="302" w:type="pct"/>
            <w:shd w:val="clear" w:color="auto" w:fill="auto"/>
            <w:vAlign w:val="center"/>
          </w:tcPr>
          <w:p w14:paraId="1316D6B4" w14:textId="77777777" w:rsidR="009907BA" w:rsidRPr="00803DAB" w:rsidRDefault="009907BA" w:rsidP="00F87A29">
            <w:pPr>
              <w:pStyle w:val="17-tablecontent"/>
              <w:rPr>
                <w:color w:val="auto"/>
                <w:lang w:eastAsia="zh-CN"/>
              </w:rPr>
            </w:pPr>
            <w:r w:rsidRPr="00803DAB">
              <w:rPr>
                <w:color w:val="auto"/>
                <w:lang w:eastAsia="zh-CN"/>
              </w:rPr>
              <w:t xml:space="preserve">61.48 </w:t>
            </w:r>
          </w:p>
        </w:tc>
        <w:tc>
          <w:tcPr>
            <w:tcW w:w="302" w:type="pct"/>
            <w:shd w:val="clear" w:color="auto" w:fill="auto"/>
            <w:vAlign w:val="center"/>
          </w:tcPr>
          <w:p w14:paraId="6E376000" w14:textId="77777777" w:rsidR="009907BA" w:rsidRPr="00803DAB" w:rsidRDefault="009907BA" w:rsidP="00F87A29">
            <w:pPr>
              <w:pStyle w:val="17-tablecontent"/>
              <w:rPr>
                <w:color w:val="auto"/>
                <w:lang w:eastAsia="zh-CN"/>
              </w:rPr>
            </w:pPr>
            <w:r w:rsidRPr="00803DAB">
              <w:rPr>
                <w:color w:val="auto"/>
                <w:lang w:eastAsia="zh-CN"/>
              </w:rPr>
              <w:t xml:space="preserve">67.78 </w:t>
            </w:r>
          </w:p>
        </w:tc>
        <w:tc>
          <w:tcPr>
            <w:tcW w:w="302" w:type="pct"/>
            <w:vAlign w:val="center"/>
          </w:tcPr>
          <w:p w14:paraId="5D6ACB12" w14:textId="77777777" w:rsidR="009907BA" w:rsidRPr="00803DAB" w:rsidRDefault="009907BA" w:rsidP="00F87A29">
            <w:pPr>
              <w:pStyle w:val="17-tablecontent"/>
              <w:rPr>
                <w:color w:val="auto"/>
                <w:lang w:eastAsia="zh-CN"/>
              </w:rPr>
            </w:pPr>
          </w:p>
        </w:tc>
        <w:tc>
          <w:tcPr>
            <w:tcW w:w="230" w:type="pct"/>
            <w:vAlign w:val="center"/>
          </w:tcPr>
          <w:p w14:paraId="64FD611B" w14:textId="77777777" w:rsidR="009907BA" w:rsidRPr="00803DAB" w:rsidRDefault="009907BA" w:rsidP="00F87A29">
            <w:pPr>
              <w:pStyle w:val="17-tablecontent"/>
              <w:rPr>
                <w:color w:val="auto"/>
                <w:lang w:eastAsia="zh-CN"/>
              </w:rPr>
            </w:pPr>
          </w:p>
        </w:tc>
        <w:tc>
          <w:tcPr>
            <w:tcW w:w="230" w:type="pct"/>
            <w:shd w:val="clear" w:color="auto" w:fill="auto"/>
            <w:vAlign w:val="center"/>
          </w:tcPr>
          <w:p w14:paraId="67833467" w14:textId="77777777" w:rsidR="009907BA" w:rsidRPr="00803DAB" w:rsidRDefault="009907BA" w:rsidP="00F87A29">
            <w:pPr>
              <w:pStyle w:val="17-tablecontent"/>
              <w:rPr>
                <w:color w:val="auto"/>
                <w:lang w:eastAsia="zh-CN"/>
              </w:rPr>
            </w:pPr>
            <w:r w:rsidRPr="00803DAB">
              <w:rPr>
                <w:color w:val="auto"/>
                <w:lang w:eastAsia="zh-CN"/>
              </w:rPr>
              <w:t xml:space="preserve">0.59 </w:t>
            </w:r>
          </w:p>
        </w:tc>
        <w:tc>
          <w:tcPr>
            <w:tcW w:w="230" w:type="pct"/>
            <w:shd w:val="clear" w:color="auto" w:fill="auto"/>
            <w:vAlign w:val="center"/>
          </w:tcPr>
          <w:p w14:paraId="2F7E4D54" w14:textId="77777777" w:rsidR="009907BA" w:rsidRPr="00803DAB" w:rsidRDefault="009907BA" w:rsidP="00F87A29">
            <w:pPr>
              <w:pStyle w:val="17-tablecontent"/>
              <w:rPr>
                <w:color w:val="auto"/>
                <w:lang w:eastAsia="zh-CN"/>
              </w:rPr>
            </w:pPr>
            <w:r w:rsidRPr="00803DAB">
              <w:rPr>
                <w:color w:val="auto"/>
                <w:lang w:eastAsia="zh-CN"/>
              </w:rPr>
              <w:t xml:space="preserve">0.61 </w:t>
            </w:r>
          </w:p>
        </w:tc>
        <w:tc>
          <w:tcPr>
            <w:tcW w:w="230" w:type="pct"/>
            <w:shd w:val="clear" w:color="auto" w:fill="auto"/>
            <w:vAlign w:val="center"/>
          </w:tcPr>
          <w:p w14:paraId="1B69574D" w14:textId="77777777" w:rsidR="009907BA" w:rsidRPr="00803DAB" w:rsidRDefault="009907BA" w:rsidP="00F87A29">
            <w:pPr>
              <w:pStyle w:val="17-tablecontent"/>
              <w:rPr>
                <w:color w:val="auto"/>
                <w:lang w:eastAsia="zh-CN"/>
              </w:rPr>
            </w:pPr>
            <w:r w:rsidRPr="00803DAB">
              <w:rPr>
                <w:color w:val="auto"/>
                <w:lang w:eastAsia="zh-CN"/>
              </w:rPr>
              <w:t xml:space="preserve">0.69 </w:t>
            </w:r>
          </w:p>
        </w:tc>
        <w:tc>
          <w:tcPr>
            <w:tcW w:w="230" w:type="pct"/>
            <w:shd w:val="clear" w:color="auto" w:fill="auto"/>
            <w:vAlign w:val="center"/>
          </w:tcPr>
          <w:p w14:paraId="3346D8E6" w14:textId="77777777" w:rsidR="009907BA" w:rsidRPr="00803DAB" w:rsidRDefault="009907BA" w:rsidP="00F87A29">
            <w:pPr>
              <w:pStyle w:val="17-tablecontent"/>
              <w:rPr>
                <w:color w:val="auto"/>
                <w:lang w:eastAsia="zh-CN"/>
              </w:rPr>
            </w:pPr>
            <w:r w:rsidRPr="00803DAB">
              <w:rPr>
                <w:color w:val="auto"/>
                <w:lang w:eastAsia="zh-CN"/>
              </w:rPr>
              <w:t xml:space="preserve">0.85 </w:t>
            </w:r>
          </w:p>
        </w:tc>
        <w:tc>
          <w:tcPr>
            <w:tcW w:w="230" w:type="pct"/>
            <w:shd w:val="clear" w:color="auto" w:fill="auto"/>
            <w:vAlign w:val="center"/>
          </w:tcPr>
          <w:p w14:paraId="3FFBC4AC" w14:textId="77777777" w:rsidR="009907BA" w:rsidRPr="00803DAB" w:rsidRDefault="009907BA" w:rsidP="00F87A29">
            <w:pPr>
              <w:pStyle w:val="17-tablecontent"/>
              <w:rPr>
                <w:color w:val="auto"/>
                <w:lang w:eastAsia="zh-CN"/>
              </w:rPr>
            </w:pPr>
            <w:r w:rsidRPr="00803DAB">
              <w:rPr>
                <w:color w:val="auto"/>
                <w:lang w:eastAsia="zh-CN"/>
              </w:rPr>
              <w:t xml:space="preserve">0.94 </w:t>
            </w:r>
          </w:p>
        </w:tc>
        <w:tc>
          <w:tcPr>
            <w:tcW w:w="230" w:type="pct"/>
            <w:vAlign w:val="center"/>
          </w:tcPr>
          <w:p w14:paraId="38B4E183" w14:textId="77777777" w:rsidR="009907BA" w:rsidRPr="00803DAB" w:rsidRDefault="009907BA" w:rsidP="00F87A29">
            <w:pPr>
              <w:pStyle w:val="17-tablecontent"/>
              <w:rPr>
                <w:color w:val="auto"/>
                <w:lang w:eastAsia="zh-CN"/>
              </w:rPr>
            </w:pPr>
          </w:p>
        </w:tc>
        <w:tc>
          <w:tcPr>
            <w:tcW w:w="488" w:type="pct"/>
            <w:vAlign w:val="center"/>
          </w:tcPr>
          <w:p w14:paraId="0E3C2F11" w14:textId="3E880847"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{"citationItems":[{"id":"ITEM-1","itemData":{"DOI":"10.1016/j.ijmst.2015.12.019","ISSN":"20952686","abstract":"In order to investigate the physical and mechanical properties of sandstone containing fissures after exposure to high temperatures, fissures with different angles α were prefabricated in the plate sandstone samples, and the processed samples were then heated at 5 different temperatures. Indoor uniaxial compression was conducted to analyze the change rules of physical properties of sandstone after exposure to high temperature, and the deformation, strength and failure characteristics of sandstone containing fissures. The results show that, with increasing temperature, the volume of sandstone increases gradually while the quality and density decrease gradually, and the color of sandstone remains basically unchanged while the brightness increases markedly when the temperature is higher than 585 °C; the peak strength of sandstone containing fissures first decreases then increases when the temperature is between 25 °C and 400 °C. The peak strain of sandstone containing fissures increases g adually while the average modulus decreases gradually with increasing temperature, and the mechanical properties of sandstone show obvious deterioration after 400 °C. The peak strain of sandstone containing fissures increases gradually while the average modulus decreases gradually with increasing temperature; with increasing angle α of the fissure, the evolution characteristics of the macro-mechanical parameters of sandstone are closely related to the their own mechanical properties. When the temperature is 800 °C, the correlation between the peak strength and average modulus of sandstone and the angle α of the fissure is obviously weakened. The failure modes of sandstone containing fissures after high temperature exposure are of three different kinds including: tensile crack failure, tensile and shear cracks mixed failure, and shear crack failure. Tensile and shear crack mixed failure occur mainly at low temperatures and small angles; tensile crack failure occurs at high temperatures and large angles.","author":[{"dropping-particle":"","family":"Zhu","given":"Tantan","non-dropping-particle":"","parse-names":false,"suffix":""},{"dropping-particle":"","family":"Jing","given":"Hongwen","non-dropping-particle":"","parse-names":false,"suffix":""},{"dropping-particle":"","family":"Su","given":"Haijian","non-dropping-particle":"","parse-names":false,"suffix":""},{"dropping-particle":"","family":"Yin","given":"Qian","non-dropping-particle":"","parse-names":false,"suffix":""},{"dropping-particle":"","family":"Du","given":"Mingrui","non-dropping-particle":"","parse-names":false,"suffix":""},{"dropping-particle":"","family":"Han","given":"Guansheng","non-dropping-particle":"","parse-names":false,"suffix":""}],"container-title":"International Journal of Mining Science and Technology","id":"ITEM-1","issue":"2","issued":{"date-parts":[["2016"]]},"page":"319-325","publisher":"China University of Mining &amp; Technology","title":"Physical and mechanical properties of sandstone containing a single fissure after exposure to high temperatures","type":"article-journal","volume":"26"},"uris":["http://www.mendeley.com/documents/?uuid=9fdaddfd-2856-4179-a08b-c1280c28c862"]}],"mendeley":{"formattedCitation":"(Zhu et al., 2016)","manualFormatting":"Zhu et al. (2016","plainTextFormattedCitation":"(Zhu et al., 2016)","previouslyFormattedCitation":"(Zhu et al. 2016)"},"properties":{"noteIndex":0},"schema":"https://github.com/citation-style-language/schema/raw/master/csl-citation.json"}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 et al. (2016</w:t>
            </w:r>
            <w:r w:rsidRPr="00803DAB">
              <w:rPr>
                <w:color w:val="auto"/>
                <w:lang w:eastAsia="zh-CN"/>
              </w:rPr>
              <w:fldChar w:fldCharType="end"/>
            </w:r>
            <w:r w:rsidRPr="00803DAB">
              <w:rPr>
                <w:color w:val="auto"/>
                <w:lang w:eastAsia="zh-CN"/>
              </w:rPr>
              <w:t>)</w:t>
            </w:r>
          </w:p>
        </w:tc>
      </w:tr>
      <w:tr w:rsidR="009907BA" w:rsidRPr="00803DAB" w14:paraId="289AE6B2" w14:textId="77777777" w:rsidTr="00F87A29">
        <w:tc>
          <w:tcPr>
            <w:tcW w:w="467" w:type="pct"/>
            <w:vAlign w:val="center"/>
          </w:tcPr>
          <w:p w14:paraId="60765CE8" w14:textId="77777777" w:rsidR="009907BA" w:rsidRPr="00803DAB" w:rsidRDefault="009907BA" w:rsidP="00F87A29">
            <w:pPr>
              <w:pStyle w:val="17-tablecontent"/>
              <w:rPr>
                <w:color w:val="auto"/>
                <w:lang w:eastAsia="zh-CN"/>
              </w:rPr>
            </w:pPr>
            <w:r w:rsidRPr="00803DAB">
              <w:rPr>
                <w:color w:val="auto"/>
                <w:lang w:eastAsia="zh-CN"/>
              </w:rPr>
              <w:t>Sandstone</w:t>
            </w:r>
          </w:p>
        </w:tc>
        <w:tc>
          <w:tcPr>
            <w:tcW w:w="316" w:type="pct"/>
            <w:vAlign w:val="center"/>
          </w:tcPr>
          <w:p w14:paraId="37D71C67" w14:textId="77777777" w:rsidR="009907BA" w:rsidRPr="00803DAB" w:rsidRDefault="009907BA" w:rsidP="00F87A29">
            <w:pPr>
              <w:pStyle w:val="17-tablecontent"/>
              <w:rPr>
                <w:color w:val="auto"/>
                <w:lang w:eastAsia="zh-CN"/>
              </w:rPr>
            </w:pPr>
            <w:r w:rsidRPr="00803DAB">
              <w:rPr>
                <w:color w:val="auto"/>
                <w:lang w:eastAsia="zh-CN"/>
              </w:rPr>
              <w:t>77.91</w:t>
            </w:r>
          </w:p>
        </w:tc>
        <w:tc>
          <w:tcPr>
            <w:tcW w:w="302" w:type="pct"/>
            <w:vAlign w:val="center"/>
          </w:tcPr>
          <w:p w14:paraId="52697961" w14:textId="77777777" w:rsidR="009907BA" w:rsidRPr="00803DAB" w:rsidRDefault="009907BA" w:rsidP="00F87A29">
            <w:pPr>
              <w:pStyle w:val="17-tablecontent"/>
              <w:rPr>
                <w:color w:val="auto"/>
                <w:lang w:eastAsia="zh-CN"/>
              </w:rPr>
            </w:pPr>
          </w:p>
        </w:tc>
        <w:tc>
          <w:tcPr>
            <w:tcW w:w="302" w:type="pct"/>
            <w:shd w:val="clear" w:color="auto" w:fill="auto"/>
            <w:vAlign w:val="center"/>
          </w:tcPr>
          <w:p w14:paraId="33624F89" w14:textId="77777777" w:rsidR="009907BA" w:rsidRPr="00803DAB" w:rsidRDefault="009907BA" w:rsidP="00F87A29">
            <w:pPr>
              <w:pStyle w:val="17-tablecontent"/>
              <w:rPr>
                <w:color w:val="auto"/>
                <w:lang w:eastAsia="zh-CN"/>
              </w:rPr>
            </w:pPr>
            <w:r w:rsidRPr="00803DAB">
              <w:rPr>
                <w:color w:val="auto"/>
                <w:lang w:eastAsia="zh-CN"/>
              </w:rPr>
              <w:t>58.02</w:t>
            </w:r>
          </w:p>
        </w:tc>
        <w:tc>
          <w:tcPr>
            <w:tcW w:w="302" w:type="pct"/>
            <w:shd w:val="clear" w:color="auto" w:fill="auto"/>
            <w:vAlign w:val="center"/>
          </w:tcPr>
          <w:p w14:paraId="5D9217AE" w14:textId="77777777" w:rsidR="009907BA" w:rsidRPr="00803DAB" w:rsidRDefault="009907BA" w:rsidP="00F87A29">
            <w:pPr>
              <w:pStyle w:val="17-tablecontent"/>
              <w:rPr>
                <w:color w:val="auto"/>
                <w:lang w:eastAsia="zh-CN"/>
              </w:rPr>
            </w:pPr>
            <w:r w:rsidRPr="00803DAB">
              <w:rPr>
                <w:color w:val="auto"/>
                <w:lang w:eastAsia="zh-CN"/>
              </w:rPr>
              <w:t>59.66</w:t>
            </w:r>
          </w:p>
        </w:tc>
        <w:tc>
          <w:tcPr>
            <w:tcW w:w="302" w:type="pct"/>
            <w:shd w:val="clear" w:color="auto" w:fill="auto"/>
            <w:vAlign w:val="center"/>
          </w:tcPr>
          <w:p w14:paraId="48A3510B" w14:textId="77777777" w:rsidR="009907BA" w:rsidRPr="00803DAB" w:rsidRDefault="009907BA" w:rsidP="00F87A29">
            <w:pPr>
              <w:pStyle w:val="17-tablecontent"/>
              <w:rPr>
                <w:color w:val="auto"/>
                <w:lang w:eastAsia="zh-CN"/>
              </w:rPr>
            </w:pPr>
            <w:r w:rsidRPr="00803DAB">
              <w:rPr>
                <w:color w:val="auto"/>
                <w:lang w:eastAsia="zh-CN"/>
              </w:rPr>
              <w:t>60.78</w:t>
            </w:r>
          </w:p>
        </w:tc>
        <w:tc>
          <w:tcPr>
            <w:tcW w:w="302" w:type="pct"/>
            <w:shd w:val="clear" w:color="auto" w:fill="auto"/>
            <w:vAlign w:val="center"/>
          </w:tcPr>
          <w:p w14:paraId="3C68DCE0" w14:textId="77777777" w:rsidR="009907BA" w:rsidRPr="00803DAB" w:rsidRDefault="009907BA" w:rsidP="00F87A29">
            <w:pPr>
              <w:pStyle w:val="17-tablecontent"/>
              <w:rPr>
                <w:color w:val="auto"/>
                <w:lang w:eastAsia="zh-CN"/>
              </w:rPr>
            </w:pPr>
            <w:r w:rsidRPr="00803DAB">
              <w:rPr>
                <w:color w:val="auto"/>
                <w:lang w:eastAsia="zh-CN"/>
              </w:rPr>
              <w:t>63.84</w:t>
            </w:r>
          </w:p>
        </w:tc>
        <w:tc>
          <w:tcPr>
            <w:tcW w:w="302" w:type="pct"/>
            <w:shd w:val="clear" w:color="auto" w:fill="auto"/>
            <w:vAlign w:val="center"/>
          </w:tcPr>
          <w:p w14:paraId="1DEE5AF6" w14:textId="77777777" w:rsidR="009907BA" w:rsidRPr="00803DAB" w:rsidRDefault="009907BA" w:rsidP="00F87A29">
            <w:pPr>
              <w:pStyle w:val="17-tablecontent"/>
              <w:rPr>
                <w:color w:val="auto"/>
                <w:lang w:eastAsia="zh-CN"/>
              </w:rPr>
            </w:pPr>
            <w:r w:rsidRPr="00803DAB">
              <w:rPr>
                <w:color w:val="auto"/>
                <w:lang w:eastAsia="zh-CN"/>
              </w:rPr>
              <w:t>67.33</w:t>
            </w:r>
          </w:p>
        </w:tc>
        <w:tc>
          <w:tcPr>
            <w:tcW w:w="302" w:type="pct"/>
            <w:vAlign w:val="center"/>
          </w:tcPr>
          <w:p w14:paraId="5C24642F" w14:textId="77777777" w:rsidR="009907BA" w:rsidRPr="00803DAB" w:rsidRDefault="009907BA" w:rsidP="00F87A29">
            <w:pPr>
              <w:pStyle w:val="17-tablecontent"/>
              <w:rPr>
                <w:color w:val="auto"/>
                <w:lang w:eastAsia="zh-CN"/>
              </w:rPr>
            </w:pPr>
          </w:p>
        </w:tc>
        <w:tc>
          <w:tcPr>
            <w:tcW w:w="230" w:type="pct"/>
            <w:vAlign w:val="center"/>
          </w:tcPr>
          <w:p w14:paraId="7B245096" w14:textId="77777777" w:rsidR="009907BA" w:rsidRPr="00803DAB" w:rsidRDefault="009907BA" w:rsidP="00F87A29">
            <w:pPr>
              <w:pStyle w:val="17-tablecontent"/>
              <w:rPr>
                <w:color w:val="auto"/>
                <w:lang w:eastAsia="zh-CN"/>
              </w:rPr>
            </w:pPr>
          </w:p>
        </w:tc>
        <w:tc>
          <w:tcPr>
            <w:tcW w:w="230" w:type="pct"/>
            <w:shd w:val="clear" w:color="auto" w:fill="auto"/>
            <w:vAlign w:val="center"/>
          </w:tcPr>
          <w:p w14:paraId="3B3491D0" w14:textId="77777777" w:rsidR="009907BA" w:rsidRPr="00803DAB" w:rsidRDefault="009907BA" w:rsidP="00F87A29">
            <w:pPr>
              <w:pStyle w:val="17-tablecontent"/>
              <w:rPr>
                <w:color w:val="auto"/>
                <w:lang w:eastAsia="zh-CN"/>
              </w:rPr>
            </w:pPr>
            <w:r w:rsidRPr="00803DAB">
              <w:rPr>
                <w:color w:val="auto"/>
                <w:lang w:eastAsia="zh-CN"/>
              </w:rPr>
              <w:t xml:space="preserve">0.74 </w:t>
            </w:r>
          </w:p>
        </w:tc>
        <w:tc>
          <w:tcPr>
            <w:tcW w:w="230" w:type="pct"/>
            <w:shd w:val="clear" w:color="auto" w:fill="auto"/>
            <w:vAlign w:val="center"/>
          </w:tcPr>
          <w:p w14:paraId="6ACAB433" w14:textId="77777777" w:rsidR="009907BA" w:rsidRPr="00803DAB" w:rsidRDefault="009907BA" w:rsidP="00F87A29">
            <w:pPr>
              <w:pStyle w:val="17-tablecontent"/>
              <w:rPr>
                <w:color w:val="auto"/>
                <w:lang w:eastAsia="zh-CN"/>
              </w:rPr>
            </w:pPr>
            <w:r w:rsidRPr="00803DAB">
              <w:rPr>
                <w:color w:val="auto"/>
                <w:lang w:eastAsia="zh-CN"/>
              </w:rPr>
              <w:t xml:space="preserve">0.77 </w:t>
            </w:r>
          </w:p>
        </w:tc>
        <w:tc>
          <w:tcPr>
            <w:tcW w:w="230" w:type="pct"/>
            <w:shd w:val="clear" w:color="auto" w:fill="auto"/>
            <w:vAlign w:val="center"/>
          </w:tcPr>
          <w:p w14:paraId="7D6FE7FC" w14:textId="77777777" w:rsidR="009907BA" w:rsidRPr="00803DAB" w:rsidRDefault="009907BA" w:rsidP="00F87A29">
            <w:pPr>
              <w:pStyle w:val="17-tablecontent"/>
              <w:rPr>
                <w:color w:val="auto"/>
                <w:lang w:eastAsia="zh-CN"/>
              </w:rPr>
            </w:pPr>
            <w:r w:rsidRPr="00803DAB">
              <w:rPr>
                <w:color w:val="auto"/>
                <w:lang w:eastAsia="zh-CN"/>
              </w:rPr>
              <w:t xml:space="preserve">0.78 </w:t>
            </w:r>
          </w:p>
        </w:tc>
        <w:tc>
          <w:tcPr>
            <w:tcW w:w="230" w:type="pct"/>
            <w:shd w:val="clear" w:color="auto" w:fill="auto"/>
            <w:vAlign w:val="center"/>
          </w:tcPr>
          <w:p w14:paraId="49239845" w14:textId="77777777" w:rsidR="009907BA" w:rsidRPr="00803DAB" w:rsidRDefault="009907BA" w:rsidP="00F87A29">
            <w:pPr>
              <w:pStyle w:val="17-tablecontent"/>
              <w:rPr>
                <w:color w:val="auto"/>
                <w:lang w:eastAsia="zh-CN"/>
              </w:rPr>
            </w:pPr>
            <w:r w:rsidRPr="00803DAB">
              <w:rPr>
                <w:color w:val="auto"/>
                <w:lang w:eastAsia="zh-CN"/>
              </w:rPr>
              <w:t xml:space="preserve">0.82 </w:t>
            </w:r>
          </w:p>
        </w:tc>
        <w:tc>
          <w:tcPr>
            <w:tcW w:w="230" w:type="pct"/>
            <w:shd w:val="clear" w:color="auto" w:fill="auto"/>
            <w:vAlign w:val="center"/>
          </w:tcPr>
          <w:p w14:paraId="7595744B"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30" w:type="pct"/>
            <w:vAlign w:val="center"/>
          </w:tcPr>
          <w:p w14:paraId="019B4A4D" w14:textId="77777777" w:rsidR="009907BA" w:rsidRPr="00803DAB" w:rsidRDefault="009907BA" w:rsidP="00F87A29">
            <w:pPr>
              <w:pStyle w:val="17-tablecontent"/>
              <w:rPr>
                <w:color w:val="auto"/>
                <w:lang w:eastAsia="zh-CN"/>
              </w:rPr>
            </w:pPr>
          </w:p>
        </w:tc>
        <w:tc>
          <w:tcPr>
            <w:tcW w:w="488" w:type="pct"/>
            <w:vAlign w:val="center"/>
          </w:tcPr>
          <w:p w14:paraId="3D7E1290" w14:textId="628EAE09"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{"citationItems":[{"id":"ITEM-1","itemData":{"DOI":"10.1007/s00024-019-02201-8","ISSN":"14209136","abstract":"To better understand the basic properties and phenomena of compression failure in rock mass structures, a series of uniaxial compression tests on sandstone specimens was carried out using loading equipment, an acoustic emission system, a computed tomography scanning system and a high-speed video camera. The results showed that the fracture process of sandstone samples was divided into three stages: original micro-crack closure, micro-crack nucleation and macro-crack propagation. Avalanche energies of the intact and single-fissured specimens followed a power-law distribution, which revealed avalanche criticality. The optimal exponents (r) of single-fissured specimens were about 1.64 and were slightly lower than that of the intact specimen. The fitted power-law exponents (r</w:instrText>
            </w:r>
            <w:r w:rsidR="0087279A">
              <w:rPr>
                <w:rFonts w:hint="eastAsia"/>
                <w:color w:val="auto"/>
                <w:lang w:eastAsia="zh-CN"/>
              </w:rPr>
              <w:instrText>′</w:instrText>
            </w:r>
            <w:r w:rsidR="0087279A">
              <w:rPr>
                <w:color w:val="auto"/>
                <w:lang w:eastAsia="zh-CN"/>
              </w:rPr>
              <w:instrText>) of sandstone specimens change in the different stages of experiments and gradually tend to a stable value, which acted as a “warning signal” for the impending major collapse. Based on histogram analysis and the maximum likelihood method, the presence of a flaw may affect the statistical properties of avalanche energies. The flaw inclination angle had little influence on the optimal exponent, but it had certain influence on the fracture modes of the specimens. This paper may provide a new theoretical basis for predicting the collapse failure of engineering rock mass structures.","author":[{"dropping-particle":"","family":"Li","given":"Shujian","non-dropping-particle":"","parse-names":false,"suffix":""},{"dropping-particle":"","family":"Zhang","given":"Dongming","non-dropping-particle":"","parse-names":false,"suffix":""},{"dropping-particle":"","family":"Bai","given":"Xin","non-dropping-particle":"","parse-names":false,"suffix":""},{"dropping-particle":"","family":"Zhang","given":"Xianmeng","non-dropping-particle":"","parse-names":false,"suffix":""},{"dropping-particle":"","family":"Chu","given":"Yapei","non-dropping-particle":"","parse-names":false,"suffix":""},{"dropping-particle":"","family":"Guo","given":"Kunyong","non-dropping-particle":"","parse-names":false,"suffix":""}],"container-title":"Pure and Applied Geophysics","id":"ITEM-1","issue":"10","issued":{"date-parts":[["2019"]]},"page":"4519-4532","title":"Experimental Study on Mechanical Properties, Acoustic Emission Energies and Failure Modes of Pre-cracked Rock Materials under Uniaxial Compression","type":"article-journal","volume":"176"},"uris":["http://www.mendeley.com/documents/?uuid=d9a0b485-a6be-4de2-bef9-b66fa598e40c"]}],"mendeley":{"formattedCitation":"(Li et al., 2019b)","manualFormatting":"Li et al. (2019","plainTextFormattedCitation":"(Li et al., 2019b)","previouslyFormattedCitation":"(Li et al. 2019b)"},"properties":{"noteIndex":0},"schema":"https://github.com/citation-style-language/schema/raw/master/csl-citation.json"}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Li et al. (2019</w:t>
            </w:r>
            <w:r w:rsidRPr="00803DAB">
              <w:rPr>
                <w:color w:val="auto"/>
                <w:lang w:eastAsia="zh-CN"/>
              </w:rPr>
              <w:fldChar w:fldCharType="end"/>
            </w:r>
            <w:r w:rsidR="00235AB3">
              <w:rPr>
                <w:color w:val="auto"/>
                <w:lang w:eastAsia="zh-CN"/>
              </w:rPr>
              <w:t>b</w:t>
            </w:r>
            <w:r w:rsidRPr="00803DAB">
              <w:rPr>
                <w:color w:val="auto"/>
                <w:lang w:eastAsia="zh-CN"/>
              </w:rPr>
              <w:t>)</w:t>
            </w:r>
          </w:p>
        </w:tc>
      </w:tr>
      <w:tr w:rsidR="009907BA" w:rsidRPr="00803DAB" w14:paraId="346AD2D1" w14:textId="77777777" w:rsidTr="00F87A29">
        <w:tc>
          <w:tcPr>
            <w:tcW w:w="467" w:type="pct"/>
            <w:vAlign w:val="center"/>
          </w:tcPr>
          <w:p w14:paraId="59910B6F" w14:textId="77777777" w:rsidR="009907BA" w:rsidRPr="00803DAB" w:rsidRDefault="009907BA" w:rsidP="00F87A29">
            <w:pPr>
              <w:pStyle w:val="17-tablecontent"/>
              <w:rPr>
                <w:color w:val="auto"/>
                <w:lang w:eastAsia="zh-CN"/>
              </w:rPr>
            </w:pPr>
            <w:r w:rsidRPr="00803DAB">
              <w:rPr>
                <w:color w:val="auto"/>
                <w:lang w:eastAsia="zh-CN"/>
              </w:rPr>
              <w:t>Granite</w:t>
            </w:r>
          </w:p>
        </w:tc>
        <w:tc>
          <w:tcPr>
            <w:tcW w:w="316" w:type="pct"/>
            <w:vAlign w:val="center"/>
          </w:tcPr>
          <w:p w14:paraId="2C709A2F" w14:textId="77777777" w:rsidR="009907BA" w:rsidRPr="00803DAB" w:rsidRDefault="009907BA" w:rsidP="00F87A29">
            <w:pPr>
              <w:pStyle w:val="17-tablecontent"/>
              <w:rPr>
                <w:color w:val="auto"/>
                <w:lang w:eastAsia="zh-CN"/>
              </w:rPr>
            </w:pPr>
            <w:r w:rsidRPr="00803DAB">
              <w:rPr>
                <w:color w:val="auto"/>
                <w:lang w:eastAsia="zh-CN"/>
              </w:rPr>
              <w:t>171.83</w:t>
            </w:r>
          </w:p>
        </w:tc>
        <w:tc>
          <w:tcPr>
            <w:tcW w:w="302" w:type="pct"/>
            <w:vAlign w:val="center"/>
          </w:tcPr>
          <w:p w14:paraId="76D7D663" w14:textId="77777777" w:rsidR="009907BA" w:rsidRPr="00803DAB" w:rsidRDefault="009907BA" w:rsidP="00F87A29">
            <w:pPr>
              <w:pStyle w:val="17-tablecontent"/>
              <w:rPr>
                <w:color w:val="auto"/>
                <w:lang w:eastAsia="zh-CN"/>
              </w:rPr>
            </w:pPr>
            <w:r w:rsidRPr="00803DAB">
              <w:rPr>
                <w:color w:val="auto"/>
                <w:lang w:eastAsia="zh-CN"/>
              </w:rPr>
              <w:t>116.2</w:t>
            </w:r>
          </w:p>
        </w:tc>
        <w:tc>
          <w:tcPr>
            <w:tcW w:w="302" w:type="pct"/>
            <w:shd w:val="clear" w:color="auto" w:fill="auto"/>
            <w:vAlign w:val="center"/>
          </w:tcPr>
          <w:p w14:paraId="51488196" w14:textId="77777777" w:rsidR="009907BA" w:rsidRPr="00803DAB" w:rsidRDefault="009907BA" w:rsidP="00F87A29">
            <w:pPr>
              <w:pStyle w:val="17-tablecontent"/>
              <w:rPr>
                <w:color w:val="auto"/>
                <w:lang w:eastAsia="zh-CN"/>
              </w:rPr>
            </w:pPr>
            <w:r w:rsidRPr="00803DAB">
              <w:rPr>
                <w:color w:val="auto"/>
                <w:lang w:eastAsia="zh-CN"/>
              </w:rPr>
              <w:t>115.64</w:t>
            </w:r>
          </w:p>
        </w:tc>
        <w:tc>
          <w:tcPr>
            <w:tcW w:w="302" w:type="pct"/>
            <w:shd w:val="clear" w:color="auto" w:fill="auto"/>
            <w:vAlign w:val="center"/>
          </w:tcPr>
          <w:p w14:paraId="65A02770" w14:textId="77777777" w:rsidR="009907BA" w:rsidRPr="00803DAB" w:rsidRDefault="009907BA" w:rsidP="00F87A29">
            <w:pPr>
              <w:pStyle w:val="17-tablecontent"/>
              <w:rPr>
                <w:color w:val="auto"/>
                <w:lang w:eastAsia="zh-CN"/>
              </w:rPr>
            </w:pPr>
            <w:r w:rsidRPr="00803DAB">
              <w:rPr>
                <w:color w:val="auto"/>
                <w:lang w:eastAsia="zh-CN"/>
              </w:rPr>
              <w:t>120.69</w:t>
            </w:r>
          </w:p>
        </w:tc>
        <w:tc>
          <w:tcPr>
            <w:tcW w:w="302" w:type="pct"/>
            <w:shd w:val="clear" w:color="auto" w:fill="auto"/>
            <w:vAlign w:val="center"/>
          </w:tcPr>
          <w:p w14:paraId="4C15EC9F" w14:textId="77777777" w:rsidR="009907BA" w:rsidRPr="00803DAB" w:rsidRDefault="009907BA" w:rsidP="00F87A29">
            <w:pPr>
              <w:pStyle w:val="17-tablecontent"/>
              <w:rPr>
                <w:color w:val="auto"/>
                <w:lang w:eastAsia="zh-CN"/>
              </w:rPr>
            </w:pPr>
            <w:r w:rsidRPr="00803DAB">
              <w:rPr>
                <w:color w:val="auto"/>
                <w:lang w:eastAsia="zh-CN"/>
              </w:rPr>
              <w:t>130.15</w:t>
            </w:r>
          </w:p>
        </w:tc>
        <w:tc>
          <w:tcPr>
            <w:tcW w:w="302" w:type="pct"/>
            <w:shd w:val="clear" w:color="auto" w:fill="auto"/>
            <w:vAlign w:val="center"/>
          </w:tcPr>
          <w:p w14:paraId="0023700C" w14:textId="77777777" w:rsidR="009907BA" w:rsidRPr="00803DAB" w:rsidRDefault="009907BA" w:rsidP="00F87A29">
            <w:pPr>
              <w:pStyle w:val="17-tablecontent"/>
              <w:rPr>
                <w:color w:val="auto"/>
                <w:lang w:eastAsia="zh-CN"/>
              </w:rPr>
            </w:pPr>
            <w:r w:rsidRPr="00803DAB">
              <w:rPr>
                <w:color w:val="auto"/>
                <w:lang w:eastAsia="zh-CN"/>
              </w:rPr>
              <w:t>143.08</w:t>
            </w:r>
          </w:p>
        </w:tc>
        <w:tc>
          <w:tcPr>
            <w:tcW w:w="302" w:type="pct"/>
            <w:shd w:val="clear" w:color="auto" w:fill="auto"/>
            <w:vAlign w:val="center"/>
          </w:tcPr>
          <w:p w14:paraId="6A8E3F7E" w14:textId="77777777" w:rsidR="009907BA" w:rsidRPr="00803DAB" w:rsidRDefault="009907BA" w:rsidP="00F87A29">
            <w:pPr>
              <w:pStyle w:val="17-tablecontent"/>
              <w:rPr>
                <w:color w:val="auto"/>
                <w:lang w:eastAsia="zh-CN"/>
              </w:rPr>
            </w:pPr>
            <w:r w:rsidRPr="00803DAB">
              <w:rPr>
                <w:color w:val="auto"/>
                <w:lang w:eastAsia="zh-CN"/>
              </w:rPr>
              <w:t>152.26</w:t>
            </w:r>
          </w:p>
        </w:tc>
        <w:tc>
          <w:tcPr>
            <w:tcW w:w="302" w:type="pct"/>
            <w:vAlign w:val="center"/>
          </w:tcPr>
          <w:p w14:paraId="6E26BB62" w14:textId="77777777" w:rsidR="009907BA" w:rsidRPr="00803DAB" w:rsidRDefault="009907BA" w:rsidP="00F87A29">
            <w:pPr>
              <w:pStyle w:val="17-tablecontent"/>
              <w:rPr>
                <w:color w:val="auto"/>
                <w:lang w:eastAsia="zh-CN"/>
              </w:rPr>
            </w:pPr>
            <w:r w:rsidRPr="00803DAB">
              <w:rPr>
                <w:color w:val="auto"/>
                <w:lang w:eastAsia="zh-CN"/>
              </w:rPr>
              <w:t>165.1</w:t>
            </w:r>
          </w:p>
        </w:tc>
        <w:tc>
          <w:tcPr>
            <w:tcW w:w="230" w:type="pct"/>
            <w:shd w:val="clear" w:color="auto" w:fill="auto"/>
            <w:vAlign w:val="center"/>
          </w:tcPr>
          <w:p w14:paraId="5EEF9B6E" w14:textId="77777777" w:rsidR="009907BA" w:rsidRPr="00803DAB" w:rsidRDefault="009907BA" w:rsidP="00F87A29">
            <w:pPr>
              <w:pStyle w:val="17-tablecontent"/>
              <w:rPr>
                <w:color w:val="auto"/>
                <w:lang w:eastAsia="zh-CN"/>
              </w:rPr>
            </w:pPr>
            <w:r w:rsidRPr="00803DAB">
              <w:rPr>
                <w:color w:val="auto"/>
                <w:lang w:eastAsia="zh-CN"/>
              </w:rPr>
              <w:t xml:space="preserve">0.68 </w:t>
            </w:r>
          </w:p>
        </w:tc>
        <w:tc>
          <w:tcPr>
            <w:tcW w:w="230" w:type="pct"/>
            <w:shd w:val="clear" w:color="auto" w:fill="auto"/>
            <w:vAlign w:val="center"/>
          </w:tcPr>
          <w:p w14:paraId="292ABC7B" w14:textId="77777777" w:rsidR="009907BA" w:rsidRPr="00803DAB" w:rsidRDefault="009907BA" w:rsidP="00F87A29">
            <w:pPr>
              <w:pStyle w:val="17-tablecontent"/>
              <w:rPr>
                <w:color w:val="auto"/>
                <w:lang w:eastAsia="zh-CN"/>
              </w:rPr>
            </w:pPr>
            <w:r w:rsidRPr="00803DAB">
              <w:rPr>
                <w:color w:val="auto"/>
                <w:lang w:eastAsia="zh-CN"/>
              </w:rPr>
              <w:t xml:space="preserve">0.67 </w:t>
            </w:r>
          </w:p>
        </w:tc>
        <w:tc>
          <w:tcPr>
            <w:tcW w:w="230" w:type="pct"/>
            <w:shd w:val="clear" w:color="auto" w:fill="auto"/>
            <w:vAlign w:val="center"/>
          </w:tcPr>
          <w:p w14:paraId="678D7547" w14:textId="77777777" w:rsidR="009907BA" w:rsidRPr="00803DAB" w:rsidRDefault="009907BA" w:rsidP="00F87A29">
            <w:pPr>
              <w:pStyle w:val="17-tablecontent"/>
              <w:rPr>
                <w:color w:val="auto"/>
                <w:lang w:eastAsia="zh-CN"/>
              </w:rPr>
            </w:pPr>
            <w:r w:rsidRPr="00803DAB">
              <w:rPr>
                <w:color w:val="auto"/>
                <w:lang w:eastAsia="zh-CN"/>
              </w:rPr>
              <w:t>0.7</w:t>
            </w:r>
          </w:p>
        </w:tc>
        <w:tc>
          <w:tcPr>
            <w:tcW w:w="230" w:type="pct"/>
            <w:shd w:val="clear" w:color="auto" w:fill="auto"/>
            <w:vAlign w:val="center"/>
          </w:tcPr>
          <w:p w14:paraId="38D90048" w14:textId="77777777" w:rsidR="009907BA" w:rsidRPr="00803DAB" w:rsidRDefault="009907BA" w:rsidP="00F87A29">
            <w:pPr>
              <w:pStyle w:val="17-tablecontent"/>
              <w:rPr>
                <w:color w:val="auto"/>
                <w:lang w:eastAsia="zh-CN"/>
              </w:rPr>
            </w:pPr>
            <w:r w:rsidRPr="00803DAB">
              <w:rPr>
                <w:color w:val="auto"/>
                <w:lang w:eastAsia="zh-CN"/>
              </w:rPr>
              <w:t xml:space="preserve">0.76 </w:t>
            </w:r>
          </w:p>
        </w:tc>
        <w:tc>
          <w:tcPr>
            <w:tcW w:w="230" w:type="pct"/>
            <w:shd w:val="clear" w:color="auto" w:fill="auto"/>
            <w:vAlign w:val="center"/>
          </w:tcPr>
          <w:p w14:paraId="77EC9BAD" w14:textId="77777777" w:rsidR="009907BA" w:rsidRPr="00803DAB" w:rsidRDefault="009907BA" w:rsidP="00F87A29">
            <w:pPr>
              <w:pStyle w:val="17-tablecontent"/>
              <w:rPr>
                <w:color w:val="auto"/>
                <w:lang w:eastAsia="zh-CN"/>
              </w:rPr>
            </w:pPr>
            <w:r w:rsidRPr="00803DAB">
              <w:rPr>
                <w:color w:val="auto"/>
                <w:lang w:eastAsia="zh-CN"/>
              </w:rPr>
              <w:t xml:space="preserve">0.83 </w:t>
            </w:r>
          </w:p>
        </w:tc>
        <w:tc>
          <w:tcPr>
            <w:tcW w:w="230" w:type="pct"/>
            <w:shd w:val="clear" w:color="auto" w:fill="auto"/>
            <w:vAlign w:val="center"/>
          </w:tcPr>
          <w:p w14:paraId="4B1D2DAA" w14:textId="77777777" w:rsidR="009907BA" w:rsidRPr="00803DAB" w:rsidRDefault="009907BA" w:rsidP="00F87A29">
            <w:pPr>
              <w:pStyle w:val="17-tablecontent"/>
              <w:rPr>
                <w:color w:val="auto"/>
                <w:lang w:eastAsia="zh-CN"/>
              </w:rPr>
            </w:pPr>
            <w:r w:rsidRPr="00803DAB">
              <w:rPr>
                <w:color w:val="auto"/>
                <w:lang w:eastAsia="zh-CN"/>
              </w:rPr>
              <w:t xml:space="preserve">0.89 </w:t>
            </w:r>
          </w:p>
        </w:tc>
        <w:tc>
          <w:tcPr>
            <w:tcW w:w="230" w:type="pct"/>
            <w:shd w:val="clear" w:color="auto" w:fill="auto"/>
            <w:vAlign w:val="center"/>
          </w:tcPr>
          <w:p w14:paraId="396DA94D" w14:textId="77777777" w:rsidR="009907BA" w:rsidRPr="00803DAB" w:rsidRDefault="009907BA" w:rsidP="00F87A29">
            <w:pPr>
              <w:pStyle w:val="17-tablecontent"/>
              <w:rPr>
                <w:color w:val="auto"/>
                <w:lang w:eastAsia="zh-CN"/>
              </w:rPr>
            </w:pPr>
            <w:r w:rsidRPr="00803DAB">
              <w:rPr>
                <w:color w:val="auto"/>
                <w:lang w:eastAsia="zh-CN"/>
              </w:rPr>
              <w:t xml:space="preserve">0.96 </w:t>
            </w:r>
          </w:p>
        </w:tc>
        <w:tc>
          <w:tcPr>
            <w:tcW w:w="488" w:type="pct"/>
            <w:vAlign w:val="center"/>
          </w:tcPr>
          <w:p w14:paraId="3F04C0F2" w14:textId="5F8021DE"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{"citationItems":[{"id":"ITEM-1","itemData":{"DOI":"10.1007/s00603-018-1725-5","ISBN":"0123456789","ISSN":"1434453X","abstract":"To investigate the role of fissure angle and heat treatment temperature on the mechanical properties and deformation failure behavior, uniaxial compression tests were carried out on granite specimens containing a single fissure. Using stress–strain curves, the peak strength, peak strain, and elastic modulus of the one-fissured granite specimens were analyzed in detail. The mechanical parameters are closely related to the fissure angle and the high temperature. As the fissure angle increases from 0° to 90°, the peak strength and elastic modulus first decrease and then increase, while the peak strain increases slowly. However, the peak strength and elastic modulus first increase and then decrease, while the peak strain first decreases and then increases with increasing treatment temperature. During the experiments, the crack evolution process and acoustic emission (AE) counts were obtained using real-time photography and the AE monitoring technique. In the granite specimens containing a pre-existing fissure, large AE counts are clearly observed before the peak strength, which indicates crack initiation and propagation. The accumulated AE count first increases slowly, but is followed by a sharp increase, with increasing deformation. The AE events in the one-fissured specimen also depend on the heat treatment temperature. As the temperature increases, the rate of increase of the accumulated AE count curve is reduced. Finally, using a digital image correlation method, the full fields of surface deformation were obtained for the entire testing process. In addition, the local strain around the pre-existing fissure was measured using strain gauges. The full strain field and local strain concentration are discussed to describe the fracture mechanism of brittle granite.","author":[{"dropping-particle":"","family":"Yang","given":"Sheng Qi","non-dropping-particle":"","parse-names":false,"suffix":""},{"dropping-particle":"","family":"Huang","given":"Yan Hua","non-dropping-particle":"","parse-names":false,"suffix":""},{"dropping-particle":"","family":"Tian","given":"Wen Ling","non-dropping-particle":"","parse-names":false,"suffix":""},{"dropping-particle":"","family":"Yin","given":"Peng Fei","non-dropping-particle":"","parse-names":false,"suffix":""},{"dropping-particle":"","family":"Jing","given":"Hong Wen","non-dropping-particle":"","parse-names":false,"suffix":""}],"container-title":"Rock Mechanics and Rock Engineering","id":"ITEM-1","issue":"7","issued":{"date-parts":[["2019"]]},"page":"2087-2107","publisher":"Springer Vienna","title":"Effect of High Temperature on Deformation Failure Behavior of Granite Specimen Containing a Single Fissure Under Uniaxial Compression","type":"article-journal","volume":"52"},"uris":["http://www.mendeley.com/documents/?uuid=a2586e30-6c0a-4680-8432-5810faa62f22"]}],"mendeley":{"formattedCitation":"(Yang et al., 2019)","manualFormatting":"Yang et al. (2019","plainTextFormattedCitation":"(Yang et al., 2019)","previouslyFormattedCitation":"(Yang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et al. (2019</w:t>
            </w:r>
            <w:r w:rsidRPr="00803DAB">
              <w:rPr>
                <w:color w:val="auto"/>
                <w:lang w:eastAsia="zh-CN"/>
              </w:rPr>
              <w:fldChar w:fldCharType="end"/>
            </w:r>
            <w:r w:rsidRPr="00803DAB">
              <w:rPr>
                <w:color w:val="auto"/>
                <w:lang w:eastAsia="zh-CN"/>
              </w:rPr>
              <w:t>)</w:t>
            </w:r>
          </w:p>
        </w:tc>
      </w:tr>
      <w:tr w:rsidR="009907BA" w:rsidRPr="00803DAB" w14:paraId="79F11AC6" w14:textId="77777777" w:rsidTr="00F87A29">
        <w:tc>
          <w:tcPr>
            <w:tcW w:w="467" w:type="pct"/>
            <w:vAlign w:val="center"/>
          </w:tcPr>
          <w:p w14:paraId="012659AC" w14:textId="77777777" w:rsidR="009907BA" w:rsidRPr="00803DAB" w:rsidRDefault="009907BA" w:rsidP="00F87A29">
            <w:pPr>
              <w:pStyle w:val="17-tablecontent"/>
              <w:rPr>
                <w:color w:val="auto"/>
                <w:lang w:eastAsia="zh-CN"/>
              </w:rPr>
            </w:pPr>
            <w:r w:rsidRPr="00803DAB">
              <w:rPr>
                <w:color w:val="auto"/>
                <w:lang w:eastAsia="zh-CN"/>
              </w:rPr>
              <w:t>Granite</w:t>
            </w:r>
          </w:p>
        </w:tc>
        <w:tc>
          <w:tcPr>
            <w:tcW w:w="316" w:type="pct"/>
            <w:vAlign w:val="center"/>
          </w:tcPr>
          <w:p w14:paraId="374AC25F" w14:textId="77777777" w:rsidR="009907BA" w:rsidRPr="00803DAB" w:rsidRDefault="009907BA" w:rsidP="00F87A29">
            <w:pPr>
              <w:pStyle w:val="17-tablecontent"/>
              <w:rPr>
                <w:color w:val="auto"/>
                <w:lang w:eastAsia="zh-CN"/>
              </w:rPr>
            </w:pPr>
            <w:r w:rsidRPr="00803DAB">
              <w:rPr>
                <w:color w:val="auto"/>
                <w:lang w:eastAsia="zh-CN"/>
              </w:rPr>
              <w:t>171.83</w:t>
            </w:r>
          </w:p>
        </w:tc>
        <w:tc>
          <w:tcPr>
            <w:tcW w:w="302" w:type="pct"/>
            <w:vAlign w:val="center"/>
          </w:tcPr>
          <w:p w14:paraId="4A0F9AC4" w14:textId="77777777" w:rsidR="009907BA" w:rsidRPr="00803DAB" w:rsidRDefault="009907BA" w:rsidP="00F87A29">
            <w:pPr>
              <w:pStyle w:val="17-tablecontent"/>
              <w:rPr>
                <w:color w:val="auto"/>
                <w:lang w:eastAsia="zh-CN"/>
              </w:rPr>
            </w:pPr>
          </w:p>
        </w:tc>
        <w:tc>
          <w:tcPr>
            <w:tcW w:w="302" w:type="pct"/>
            <w:shd w:val="clear" w:color="auto" w:fill="auto"/>
            <w:vAlign w:val="center"/>
          </w:tcPr>
          <w:p w14:paraId="53B137DB" w14:textId="77777777" w:rsidR="009907BA" w:rsidRPr="00803DAB" w:rsidRDefault="009907BA" w:rsidP="00F87A29">
            <w:pPr>
              <w:pStyle w:val="17-tablecontent"/>
              <w:rPr>
                <w:color w:val="auto"/>
                <w:lang w:eastAsia="zh-CN"/>
              </w:rPr>
            </w:pPr>
            <w:r w:rsidRPr="00803DAB">
              <w:rPr>
                <w:color w:val="auto"/>
                <w:lang w:eastAsia="zh-CN"/>
              </w:rPr>
              <w:t>106.74</w:t>
            </w:r>
          </w:p>
        </w:tc>
        <w:tc>
          <w:tcPr>
            <w:tcW w:w="302" w:type="pct"/>
            <w:shd w:val="clear" w:color="auto" w:fill="auto"/>
            <w:vAlign w:val="center"/>
          </w:tcPr>
          <w:p w14:paraId="50B8A08D" w14:textId="77777777" w:rsidR="009907BA" w:rsidRPr="00803DAB" w:rsidRDefault="009907BA" w:rsidP="00F87A29">
            <w:pPr>
              <w:pStyle w:val="17-tablecontent"/>
              <w:rPr>
                <w:color w:val="auto"/>
                <w:lang w:eastAsia="zh-CN"/>
              </w:rPr>
            </w:pPr>
            <w:r w:rsidRPr="00803DAB">
              <w:rPr>
                <w:color w:val="auto"/>
                <w:lang w:eastAsia="zh-CN"/>
              </w:rPr>
              <w:t>129.2</w:t>
            </w:r>
          </w:p>
        </w:tc>
        <w:tc>
          <w:tcPr>
            <w:tcW w:w="302" w:type="pct"/>
            <w:shd w:val="clear" w:color="auto" w:fill="auto"/>
            <w:vAlign w:val="center"/>
          </w:tcPr>
          <w:p w14:paraId="55F432D0" w14:textId="77777777" w:rsidR="009907BA" w:rsidRPr="00803DAB" w:rsidRDefault="009907BA" w:rsidP="00F87A29">
            <w:pPr>
              <w:pStyle w:val="17-tablecontent"/>
              <w:rPr>
                <w:color w:val="auto"/>
                <w:lang w:eastAsia="zh-CN"/>
              </w:rPr>
            </w:pPr>
            <w:r w:rsidRPr="00803DAB">
              <w:rPr>
                <w:color w:val="auto"/>
                <w:lang w:eastAsia="zh-CN"/>
              </w:rPr>
              <w:t>132.29</w:t>
            </w:r>
          </w:p>
        </w:tc>
        <w:tc>
          <w:tcPr>
            <w:tcW w:w="302" w:type="pct"/>
            <w:shd w:val="clear" w:color="auto" w:fill="auto"/>
            <w:vAlign w:val="center"/>
          </w:tcPr>
          <w:p w14:paraId="144E3D7E" w14:textId="77777777" w:rsidR="009907BA" w:rsidRPr="00803DAB" w:rsidRDefault="009907BA" w:rsidP="00F87A29">
            <w:pPr>
              <w:pStyle w:val="17-tablecontent"/>
              <w:rPr>
                <w:color w:val="auto"/>
                <w:lang w:eastAsia="zh-CN"/>
              </w:rPr>
            </w:pPr>
          </w:p>
        </w:tc>
        <w:tc>
          <w:tcPr>
            <w:tcW w:w="302" w:type="pct"/>
            <w:shd w:val="clear" w:color="auto" w:fill="auto"/>
            <w:vAlign w:val="center"/>
          </w:tcPr>
          <w:p w14:paraId="1899BBC7" w14:textId="77777777" w:rsidR="009907BA" w:rsidRPr="00803DAB" w:rsidRDefault="009907BA" w:rsidP="00F87A29">
            <w:pPr>
              <w:pStyle w:val="17-tablecontent"/>
              <w:rPr>
                <w:color w:val="auto"/>
                <w:lang w:eastAsia="zh-CN"/>
              </w:rPr>
            </w:pPr>
            <w:r w:rsidRPr="00803DAB">
              <w:rPr>
                <w:color w:val="auto"/>
                <w:lang w:eastAsia="zh-CN"/>
              </w:rPr>
              <w:t>162.33</w:t>
            </w:r>
          </w:p>
        </w:tc>
        <w:tc>
          <w:tcPr>
            <w:tcW w:w="302" w:type="pct"/>
            <w:vAlign w:val="center"/>
          </w:tcPr>
          <w:p w14:paraId="5CC59330" w14:textId="77777777" w:rsidR="009907BA" w:rsidRPr="00803DAB" w:rsidRDefault="009907BA" w:rsidP="00F87A29">
            <w:pPr>
              <w:pStyle w:val="17-tablecontent"/>
              <w:rPr>
                <w:color w:val="auto"/>
                <w:lang w:eastAsia="zh-CN"/>
              </w:rPr>
            </w:pPr>
            <w:r w:rsidRPr="00803DAB">
              <w:rPr>
                <w:color w:val="auto"/>
                <w:lang w:eastAsia="zh-CN"/>
              </w:rPr>
              <w:t>157.3</w:t>
            </w:r>
          </w:p>
        </w:tc>
        <w:tc>
          <w:tcPr>
            <w:tcW w:w="230" w:type="pct"/>
            <w:vAlign w:val="center"/>
          </w:tcPr>
          <w:p w14:paraId="22AC86BC" w14:textId="77777777" w:rsidR="009907BA" w:rsidRPr="00803DAB" w:rsidRDefault="009907BA" w:rsidP="00F87A29">
            <w:pPr>
              <w:pStyle w:val="17-tablecontent"/>
              <w:rPr>
                <w:color w:val="auto"/>
                <w:lang w:eastAsia="zh-CN"/>
              </w:rPr>
            </w:pPr>
          </w:p>
        </w:tc>
        <w:tc>
          <w:tcPr>
            <w:tcW w:w="230" w:type="pct"/>
            <w:shd w:val="clear" w:color="auto" w:fill="auto"/>
            <w:vAlign w:val="center"/>
          </w:tcPr>
          <w:p w14:paraId="4FB99C29" w14:textId="77777777" w:rsidR="009907BA" w:rsidRPr="00803DAB" w:rsidRDefault="009907BA" w:rsidP="00F87A29">
            <w:pPr>
              <w:pStyle w:val="17-tablecontent"/>
              <w:rPr>
                <w:color w:val="auto"/>
                <w:lang w:eastAsia="zh-CN"/>
              </w:rPr>
            </w:pPr>
            <w:r w:rsidRPr="00803DAB">
              <w:rPr>
                <w:color w:val="auto"/>
                <w:lang w:eastAsia="zh-CN"/>
              </w:rPr>
              <w:t>0.62</w:t>
            </w:r>
          </w:p>
        </w:tc>
        <w:tc>
          <w:tcPr>
            <w:tcW w:w="230" w:type="pct"/>
            <w:shd w:val="clear" w:color="auto" w:fill="auto"/>
            <w:vAlign w:val="center"/>
          </w:tcPr>
          <w:p w14:paraId="1EA89DC6" w14:textId="77777777" w:rsidR="009907BA" w:rsidRPr="00803DAB" w:rsidRDefault="009907BA" w:rsidP="00F87A29">
            <w:pPr>
              <w:pStyle w:val="17-tablecontent"/>
              <w:rPr>
                <w:color w:val="auto"/>
                <w:lang w:eastAsia="zh-CN"/>
              </w:rPr>
            </w:pPr>
            <w:r w:rsidRPr="00803DAB">
              <w:rPr>
                <w:color w:val="auto"/>
                <w:lang w:eastAsia="zh-CN"/>
              </w:rPr>
              <w:t>0.75</w:t>
            </w:r>
          </w:p>
        </w:tc>
        <w:tc>
          <w:tcPr>
            <w:tcW w:w="230" w:type="pct"/>
            <w:shd w:val="clear" w:color="auto" w:fill="auto"/>
            <w:vAlign w:val="center"/>
          </w:tcPr>
          <w:p w14:paraId="45B97658" w14:textId="77777777" w:rsidR="009907BA" w:rsidRPr="00803DAB" w:rsidRDefault="009907BA" w:rsidP="00F87A29">
            <w:pPr>
              <w:pStyle w:val="17-tablecontent"/>
              <w:rPr>
                <w:color w:val="auto"/>
                <w:lang w:eastAsia="zh-CN"/>
              </w:rPr>
            </w:pPr>
            <w:r w:rsidRPr="00803DAB">
              <w:rPr>
                <w:color w:val="auto"/>
                <w:lang w:eastAsia="zh-CN"/>
              </w:rPr>
              <w:t>0.77</w:t>
            </w:r>
          </w:p>
        </w:tc>
        <w:tc>
          <w:tcPr>
            <w:tcW w:w="230" w:type="pct"/>
            <w:shd w:val="clear" w:color="auto" w:fill="auto"/>
            <w:vAlign w:val="center"/>
          </w:tcPr>
          <w:p w14:paraId="76FDD765" w14:textId="77777777" w:rsidR="009907BA" w:rsidRPr="00803DAB" w:rsidRDefault="009907BA" w:rsidP="00F87A29">
            <w:pPr>
              <w:pStyle w:val="17-tablecontent"/>
              <w:rPr>
                <w:color w:val="auto"/>
                <w:lang w:eastAsia="zh-CN"/>
              </w:rPr>
            </w:pPr>
          </w:p>
        </w:tc>
        <w:tc>
          <w:tcPr>
            <w:tcW w:w="230" w:type="pct"/>
            <w:shd w:val="clear" w:color="auto" w:fill="auto"/>
            <w:vAlign w:val="center"/>
          </w:tcPr>
          <w:p w14:paraId="033D3E33" w14:textId="77777777" w:rsidR="009907BA" w:rsidRPr="00803DAB" w:rsidRDefault="009907BA" w:rsidP="00F87A29">
            <w:pPr>
              <w:pStyle w:val="17-tablecontent"/>
              <w:rPr>
                <w:color w:val="auto"/>
                <w:lang w:eastAsia="zh-CN"/>
              </w:rPr>
            </w:pPr>
            <w:r w:rsidRPr="00803DAB">
              <w:rPr>
                <w:color w:val="auto"/>
                <w:lang w:eastAsia="zh-CN"/>
              </w:rPr>
              <w:t>0.94</w:t>
            </w:r>
          </w:p>
        </w:tc>
        <w:tc>
          <w:tcPr>
            <w:tcW w:w="230" w:type="pct"/>
            <w:vAlign w:val="center"/>
          </w:tcPr>
          <w:p w14:paraId="5F87CB6B" w14:textId="77777777" w:rsidR="009907BA" w:rsidRPr="00803DAB" w:rsidRDefault="009907BA" w:rsidP="00F87A29">
            <w:pPr>
              <w:pStyle w:val="17-tablecontent"/>
              <w:rPr>
                <w:color w:val="auto"/>
                <w:lang w:eastAsia="zh-CN"/>
              </w:rPr>
            </w:pPr>
            <w:r w:rsidRPr="00803DAB">
              <w:rPr>
                <w:color w:val="auto"/>
                <w:lang w:eastAsia="zh-CN"/>
              </w:rPr>
              <w:t>0.92</w:t>
            </w:r>
          </w:p>
        </w:tc>
        <w:tc>
          <w:tcPr>
            <w:tcW w:w="488" w:type="pct"/>
            <w:vAlign w:val="center"/>
          </w:tcPr>
          <w:p w14:paraId="7793BE1B" w14:textId="6B8C3FE9"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{"citationItems":[{"id":"ITEM-1","itemData":{"DOI":"10.1007/s00603-018-1725-5","ISBN":"0123456789","ISSN":"1434453X","abstract":"To investigate the role of fissure angle and heat treatment temperature on the mechanical properties and deformation failure behavior, uniaxial compression tests were carried out on granite specimens containing a single fissure. Using stress–strain curves, the peak strength, peak strain, and elastic modulus of the one-fissured granite specimens were analyzed in detail. The mechanical parameters are closely related to the fissure angle and the high temperature. As the fissure angle increases from 0° to 90°, the peak strength and elastic modulus first decrease and then increase, while the peak strain increases slowly. However, the peak strength and elastic modulus first increase and then decrease, while the peak strain first decreases and then increases with increasing treatment temperature. During the experiments, the crack evolution process and acoustic emission (AE) counts were obtained using real-time photography and the AE monitoring technique. In the granite specimens containing a pre-existing fissure, large AE counts are clearly observed before the peak strength, which indicates crack initiation and propagation. The accumulated AE count first increases slowly, but is followed by a sharp increase, with increasing deformation. The AE events in the one-fissured specimen also depend on the heat treatment temperature. As the temperature increases, the rate of increase of the accumulated AE count curve is reduced. Finally, using a digital image correlation method, the full fields of surface deformation were obtained for the entire testing process. In addition, the local strain around the pre-existing fissure was measured using strain gauges. The full strain field and local strain concentration are discussed to describe the fracture mechanism of brittle granite.","author":[{"dropping-particle":"","family":"Yang","given":"Sheng Qi","non-dropping-particle":"","parse-names":false,"suffix":""},{"dropping-particle":"","family":"Huang","given":"Yan Hua","non-dropping-particle":"","parse-names":false,"suffix":""},{"dropping-particle":"","family":"Tian","given":"Wen Ling","non-dropping-particle":"","parse-names":false,"suffix":""},{"dropping-particle":"","family":"Yin","given":"Peng Fei","non-dropping-particle":"","parse-names":false,"suffix":""},{"dropping-particle":"","family":"Jing","given":"Hong Wen","non-dropping-particle":"","parse-names":false,"suffix":""}],"container-title":"Rock Mechanics and Rock Engineering","id":"ITEM-1","issue":"7","issued":{"date-parts":[["2019"]]},"page":"2087-2107","publisher":"Springer Vienna","title":"Effect of High Temperature on Deformation Failure Behavior of Granite Specimen Containing a Single Fissure Under Uniaxial Compression","type":"article-journal","volume":"52"},"uris":["http://www.mendeley.com/documents/?uuid=a2586e30-6c0a-4680-8432-5810faa62f22"]}],"mendeley":{"formattedCitation":"(Yang et al., 2019)","manualFormatting":"Yang et al. (2019","plainTextFormattedCitation":"(Yang et al., 2019)","previouslyFormattedCitation":"(Yang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et al. (2019</w:t>
            </w:r>
            <w:r w:rsidRPr="00803DAB">
              <w:rPr>
                <w:color w:val="auto"/>
                <w:lang w:eastAsia="zh-CN"/>
              </w:rPr>
              <w:fldChar w:fldCharType="end"/>
            </w:r>
            <w:r w:rsidRPr="00803DAB">
              <w:rPr>
                <w:color w:val="auto"/>
                <w:lang w:eastAsia="zh-CN"/>
              </w:rPr>
              <w:t>)</w:t>
            </w:r>
          </w:p>
        </w:tc>
      </w:tr>
      <w:tr w:rsidR="009907BA" w:rsidRPr="00803DAB" w14:paraId="1D83C6A5" w14:textId="77777777" w:rsidTr="00F87A29">
        <w:tc>
          <w:tcPr>
            <w:tcW w:w="467" w:type="pct"/>
            <w:tcBorders>
              <w:bottom w:val="nil"/>
            </w:tcBorders>
            <w:vAlign w:val="center"/>
          </w:tcPr>
          <w:p w14:paraId="319D1FA2" w14:textId="77777777" w:rsidR="009907BA" w:rsidRPr="00803DAB" w:rsidRDefault="009907BA" w:rsidP="00F87A29">
            <w:pPr>
              <w:pStyle w:val="17-tablecontent"/>
              <w:rPr>
                <w:color w:val="auto"/>
                <w:lang w:eastAsia="zh-CN"/>
              </w:rPr>
            </w:pPr>
            <w:r w:rsidRPr="00803DAB">
              <w:rPr>
                <w:color w:val="auto"/>
                <w:lang w:eastAsia="zh-CN"/>
              </w:rPr>
              <w:t>Gypsum</w:t>
            </w:r>
          </w:p>
        </w:tc>
        <w:tc>
          <w:tcPr>
            <w:tcW w:w="316" w:type="pct"/>
            <w:tcBorders>
              <w:bottom w:val="nil"/>
            </w:tcBorders>
            <w:vAlign w:val="center"/>
          </w:tcPr>
          <w:p w14:paraId="73D34D82" w14:textId="77777777" w:rsidR="009907BA" w:rsidRPr="00803DAB" w:rsidRDefault="009907BA" w:rsidP="00F87A29">
            <w:pPr>
              <w:pStyle w:val="17-tablecontent"/>
              <w:rPr>
                <w:color w:val="auto"/>
                <w:lang w:eastAsia="zh-CN"/>
              </w:rPr>
            </w:pPr>
            <w:r w:rsidRPr="00803DAB">
              <w:rPr>
                <w:color w:val="auto"/>
                <w:lang w:eastAsia="zh-CN"/>
              </w:rPr>
              <w:t>47.4</w:t>
            </w:r>
          </w:p>
        </w:tc>
        <w:tc>
          <w:tcPr>
            <w:tcW w:w="302" w:type="pct"/>
            <w:tcBorders>
              <w:bottom w:val="nil"/>
            </w:tcBorders>
            <w:vAlign w:val="center"/>
          </w:tcPr>
          <w:p w14:paraId="0C517542" w14:textId="77777777" w:rsidR="009907BA" w:rsidRPr="00803DAB" w:rsidRDefault="009907BA" w:rsidP="00F87A29">
            <w:pPr>
              <w:pStyle w:val="17-tablecontent"/>
              <w:rPr>
                <w:color w:val="auto"/>
                <w:lang w:eastAsia="zh-CN"/>
              </w:rPr>
            </w:pPr>
          </w:p>
        </w:tc>
        <w:tc>
          <w:tcPr>
            <w:tcW w:w="302" w:type="pct"/>
            <w:tcBorders>
              <w:top w:val="nil"/>
              <w:left w:val="nil"/>
              <w:bottom w:val="nil"/>
              <w:right w:val="nil"/>
            </w:tcBorders>
            <w:shd w:val="clear" w:color="auto" w:fill="auto"/>
            <w:vAlign w:val="center"/>
          </w:tcPr>
          <w:p w14:paraId="2C0C105D" w14:textId="77777777" w:rsidR="009907BA" w:rsidRPr="00803DAB" w:rsidRDefault="009907BA" w:rsidP="00F87A29">
            <w:pPr>
              <w:pStyle w:val="17-tablecontent"/>
              <w:rPr>
                <w:color w:val="auto"/>
                <w:lang w:eastAsia="zh-CN"/>
              </w:rPr>
            </w:pPr>
            <w:r w:rsidRPr="00803DAB">
              <w:rPr>
                <w:color w:val="auto"/>
                <w:lang w:eastAsia="zh-CN"/>
              </w:rPr>
              <w:t xml:space="preserve">29.34 </w:t>
            </w:r>
          </w:p>
        </w:tc>
        <w:tc>
          <w:tcPr>
            <w:tcW w:w="302" w:type="pct"/>
            <w:tcBorders>
              <w:top w:val="nil"/>
              <w:left w:val="nil"/>
              <w:bottom w:val="nil"/>
              <w:right w:val="nil"/>
            </w:tcBorders>
            <w:shd w:val="clear" w:color="auto" w:fill="auto"/>
            <w:vAlign w:val="center"/>
          </w:tcPr>
          <w:p w14:paraId="65DC79C7" w14:textId="77777777" w:rsidR="009907BA" w:rsidRPr="00803DAB" w:rsidRDefault="009907BA" w:rsidP="00F87A29">
            <w:pPr>
              <w:pStyle w:val="17-tablecontent"/>
              <w:rPr>
                <w:color w:val="auto"/>
                <w:lang w:eastAsia="zh-CN"/>
              </w:rPr>
            </w:pPr>
            <w:r w:rsidRPr="00803DAB">
              <w:rPr>
                <w:color w:val="auto"/>
                <w:lang w:eastAsia="zh-CN"/>
              </w:rPr>
              <w:t xml:space="preserve">23.68 </w:t>
            </w:r>
          </w:p>
        </w:tc>
        <w:tc>
          <w:tcPr>
            <w:tcW w:w="302" w:type="pct"/>
            <w:tcBorders>
              <w:top w:val="nil"/>
              <w:left w:val="nil"/>
              <w:bottom w:val="nil"/>
              <w:right w:val="nil"/>
            </w:tcBorders>
            <w:shd w:val="clear" w:color="auto" w:fill="auto"/>
            <w:vAlign w:val="center"/>
          </w:tcPr>
          <w:p w14:paraId="5638B7C2" w14:textId="77777777" w:rsidR="009907BA" w:rsidRPr="00803DAB" w:rsidRDefault="009907BA" w:rsidP="00F87A29">
            <w:pPr>
              <w:pStyle w:val="17-tablecontent"/>
              <w:rPr>
                <w:color w:val="auto"/>
                <w:lang w:eastAsia="zh-CN"/>
              </w:rPr>
            </w:pPr>
            <w:r w:rsidRPr="00803DAB">
              <w:rPr>
                <w:color w:val="auto"/>
                <w:lang w:eastAsia="zh-CN"/>
              </w:rPr>
              <w:t>30.2</w:t>
            </w:r>
          </w:p>
        </w:tc>
        <w:tc>
          <w:tcPr>
            <w:tcW w:w="302" w:type="pct"/>
            <w:tcBorders>
              <w:top w:val="nil"/>
              <w:left w:val="nil"/>
              <w:bottom w:val="nil"/>
              <w:right w:val="nil"/>
            </w:tcBorders>
            <w:shd w:val="clear" w:color="auto" w:fill="auto"/>
            <w:vAlign w:val="center"/>
          </w:tcPr>
          <w:p w14:paraId="58EE7FF7" w14:textId="77777777" w:rsidR="009907BA" w:rsidRPr="00803DAB" w:rsidRDefault="009907BA" w:rsidP="00F87A29">
            <w:pPr>
              <w:pStyle w:val="17-tablecontent"/>
              <w:rPr>
                <w:color w:val="auto"/>
                <w:lang w:eastAsia="zh-CN"/>
              </w:rPr>
            </w:pPr>
            <w:r w:rsidRPr="00803DAB">
              <w:rPr>
                <w:color w:val="auto"/>
                <w:lang w:eastAsia="zh-CN"/>
              </w:rPr>
              <w:t xml:space="preserve">22.37 </w:t>
            </w:r>
          </w:p>
        </w:tc>
        <w:tc>
          <w:tcPr>
            <w:tcW w:w="302" w:type="pct"/>
            <w:tcBorders>
              <w:top w:val="nil"/>
              <w:left w:val="nil"/>
              <w:bottom w:val="nil"/>
              <w:right w:val="nil"/>
            </w:tcBorders>
            <w:shd w:val="clear" w:color="auto" w:fill="auto"/>
            <w:vAlign w:val="center"/>
          </w:tcPr>
          <w:p w14:paraId="50B0158C" w14:textId="77777777" w:rsidR="009907BA" w:rsidRPr="00803DAB" w:rsidRDefault="009907BA" w:rsidP="00F87A29">
            <w:pPr>
              <w:pStyle w:val="17-tablecontent"/>
              <w:rPr>
                <w:color w:val="auto"/>
                <w:lang w:eastAsia="zh-CN"/>
              </w:rPr>
            </w:pPr>
            <w:r w:rsidRPr="00803DAB">
              <w:rPr>
                <w:color w:val="auto"/>
                <w:lang w:eastAsia="zh-CN"/>
              </w:rPr>
              <w:t xml:space="preserve">30.93 </w:t>
            </w:r>
          </w:p>
        </w:tc>
        <w:tc>
          <w:tcPr>
            <w:tcW w:w="302" w:type="pct"/>
            <w:tcBorders>
              <w:bottom w:val="nil"/>
            </w:tcBorders>
            <w:vAlign w:val="center"/>
          </w:tcPr>
          <w:p w14:paraId="0E378E81" w14:textId="77777777" w:rsidR="009907BA" w:rsidRPr="00803DAB" w:rsidRDefault="009907BA" w:rsidP="00F87A29">
            <w:pPr>
              <w:pStyle w:val="17-tablecontent"/>
              <w:rPr>
                <w:color w:val="auto"/>
                <w:lang w:eastAsia="zh-CN"/>
              </w:rPr>
            </w:pPr>
          </w:p>
        </w:tc>
        <w:tc>
          <w:tcPr>
            <w:tcW w:w="230" w:type="pct"/>
            <w:tcBorders>
              <w:bottom w:val="nil"/>
            </w:tcBorders>
            <w:vAlign w:val="center"/>
          </w:tcPr>
          <w:p w14:paraId="04629AE5"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55DD073A" w14:textId="77777777" w:rsidR="009907BA" w:rsidRPr="00803DAB" w:rsidRDefault="009907BA" w:rsidP="00F87A29">
            <w:pPr>
              <w:pStyle w:val="17-tablecontent"/>
              <w:rPr>
                <w:color w:val="auto"/>
                <w:lang w:eastAsia="zh-CN"/>
              </w:rPr>
            </w:pPr>
            <w:r w:rsidRPr="00803DAB">
              <w:rPr>
                <w:color w:val="auto"/>
                <w:lang w:eastAsia="zh-CN"/>
              </w:rPr>
              <w:t xml:space="preserve">0.62 </w:t>
            </w:r>
          </w:p>
        </w:tc>
        <w:tc>
          <w:tcPr>
            <w:tcW w:w="230" w:type="pct"/>
            <w:tcBorders>
              <w:top w:val="nil"/>
              <w:left w:val="nil"/>
              <w:bottom w:val="nil"/>
              <w:right w:val="nil"/>
            </w:tcBorders>
            <w:shd w:val="clear" w:color="auto" w:fill="auto"/>
            <w:vAlign w:val="center"/>
          </w:tcPr>
          <w:p w14:paraId="1B6B1337" w14:textId="77777777" w:rsidR="009907BA" w:rsidRPr="00803DAB" w:rsidRDefault="009907BA" w:rsidP="00F87A29">
            <w:pPr>
              <w:pStyle w:val="17-tablecontent"/>
              <w:rPr>
                <w:color w:val="auto"/>
                <w:lang w:eastAsia="zh-CN"/>
              </w:rPr>
            </w:pPr>
            <w:r w:rsidRPr="00803DAB">
              <w:rPr>
                <w:color w:val="auto"/>
                <w:lang w:eastAsia="zh-CN"/>
              </w:rPr>
              <w:t>0.5</w:t>
            </w:r>
          </w:p>
        </w:tc>
        <w:tc>
          <w:tcPr>
            <w:tcW w:w="230" w:type="pct"/>
            <w:tcBorders>
              <w:top w:val="nil"/>
              <w:left w:val="nil"/>
              <w:bottom w:val="nil"/>
              <w:right w:val="nil"/>
            </w:tcBorders>
            <w:shd w:val="clear" w:color="auto" w:fill="auto"/>
            <w:vAlign w:val="center"/>
          </w:tcPr>
          <w:p w14:paraId="75CCE1F8" w14:textId="77777777" w:rsidR="009907BA" w:rsidRPr="00803DAB" w:rsidRDefault="009907BA" w:rsidP="00F87A29">
            <w:pPr>
              <w:pStyle w:val="17-tablecontent"/>
              <w:rPr>
                <w:color w:val="auto"/>
                <w:lang w:eastAsia="zh-CN"/>
              </w:rPr>
            </w:pPr>
            <w:r w:rsidRPr="00803DAB">
              <w:rPr>
                <w:color w:val="auto"/>
                <w:lang w:eastAsia="zh-CN"/>
              </w:rPr>
              <w:t xml:space="preserve">0.64 </w:t>
            </w:r>
          </w:p>
        </w:tc>
        <w:tc>
          <w:tcPr>
            <w:tcW w:w="230" w:type="pct"/>
            <w:tcBorders>
              <w:top w:val="nil"/>
              <w:left w:val="nil"/>
              <w:bottom w:val="nil"/>
              <w:right w:val="nil"/>
            </w:tcBorders>
            <w:shd w:val="clear" w:color="auto" w:fill="auto"/>
            <w:vAlign w:val="center"/>
          </w:tcPr>
          <w:p w14:paraId="5005E1C0" w14:textId="77777777" w:rsidR="009907BA" w:rsidRPr="00803DAB" w:rsidRDefault="009907BA" w:rsidP="00F87A29">
            <w:pPr>
              <w:pStyle w:val="17-tablecontent"/>
              <w:rPr>
                <w:color w:val="auto"/>
                <w:lang w:eastAsia="zh-CN"/>
              </w:rPr>
            </w:pPr>
            <w:r w:rsidRPr="00803DAB">
              <w:rPr>
                <w:color w:val="auto"/>
                <w:lang w:eastAsia="zh-CN"/>
              </w:rPr>
              <w:t xml:space="preserve">0.47 </w:t>
            </w:r>
          </w:p>
        </w:tc>
        <w:tc>
          <w:tcPr>
            <w:tcW w:w="230" w:type="pct"/>
            <w:tcBorders>
              <w:top w:val="nil"/>
              <w:left w:val="nil"/>
              <w:bottom w:val="nil"/>
              <w:right w:val="nil"/>
            </w:tcBorders>
            <w:shd w:val="clear" w:color="auto" w:fill="auto"/>
            <w:vAlign w:val="center"/>
          </w:tcPr>
          <w:p w14:paraId="0CB269EE" w14:textId="77777777" w:rsidR="009907BA" w:rsidRPr="00803DAB" w:rsidRDefault="009907BA" w:rsidP="00F87A29">
            <w:pPr>
              <w:pStyle w:val="17-tablecontent"/>
              <w:rPr>
                <w:color w:val="auto"/>
                <w:lang w:eastAsia="zh-CN"/>
              </w:rPr>
            </w:pPr>
            <w:r w:rsidRPr="00803DAB">
              <w:rPr>
                <w:color w:val="auto"/>
                <w:lang w:eastAsia="zh-CN"/>
              </w:rPr>
              <w:t xml:space="preserve">0.65 </w:t>
            </w:r>
          </w:p>
        </w:tc>
        <w:tc>
          <w:tcPr>
            <w:tcW w:w="230" w:type="pct"/>
            <w:tcBorders>
              <w:bottom w:val="nil"/>
            </w:tcBorders>
            <w:vAlign w:val="center"/>
          </w:tcPr>
          <w:p w14:paraId="33968782" w14:textId="77777777" w:rsidR="009907BA" w:rsidRPr="00803DAB" w:rsidRDefault="009907BA" w:rsidP="00F87A29">
            <w:pPr>
              <w:pStyle w:val="17-tablecontent"/>
              <w:rPr>
                <w:color w:val="auto"/>
                <w:lang w:eastAsia="zh-CN"/>
              </w:rPr>
            </w:pPr>
          </w:p>
        </w:tc>
        <w:tc>
          <w:tcPr>
            <w:tcW w:w="488" w:type="pct"/>
            <w:tcBorders>
              <w:bottom w:val="nil"/>
            </w:tcBorders>
            <w:vAlign w:val="center"/>
          </w:tcPr>
          <w:p w14:paraId="30D95AF9" w14:textId="630BB2D6"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{"citationItems":[{"id":"ITEM-1","itemData":{"DOI":"10.1007/s10064-018-1379-2","ISSN":"14359529","abstract":"A uniaxial compression test was conducted with a servo loading apparatus to study the failure of a rock-like specimen with a pre-existing single flaw. The evolution of cracks was monitored with digital image correlation technology and simulated with the expanded distinct element method based on the strain strength criterion. The concentration and evolution of the principal strain field were found to be consistent with the initiation, propagation, and coalescence of cracks. As the inclination angle increased, the position of the maximum principal strain concentration changed from within the flaw to the flaw tips, and the distribution of the horizontal displacement field changed from symmetric to antisymmetric. The initiation stress and peak strength were affected by the inclination angle; they were minimum when the inclination angle was 60°. As the inclination angle increased, the failure mode of the specimens transformed from mostly tensile failure to mostly shear failure.","author":[{"dropping-particle":"","family":"Zhao","given":"Cheng","non-dropping-particle":"","parse-names":false,"suffix":""},{"dropping-particle":"","family":"Niu","given":"Jialun","non-dropping-particle":"","parse-names":false,"suffix":""},{"dropping-particle":"","family":"Zhang","given":"Qingzhao","non-dropping-particle":"","parse-names":false,"suffix":""},{"dropping-particle":"","family":"Zhao","given":"Chunfeng","non-dropping-particle":"","parse-names":false,"suffix":""},{"dropping-particle":"","family":"Zhou","given":"Yimeng","non-dropping-particle":"","parse-names":false,"suffix":""}],"container-title":"Bulletin of Engineering Geology and the Environment","id":"ITEM-1","issue":"1","issued":{"date-parts":[["2019"]]},"page":"593-603","publisher":"Bulletin of Engineering Geology and the Environment","title":"Failure characteristics of rock-like materials with single flaws under uniaxial compression","type":"article-journal","volume":"78"},"uris":["http://www.mendeley.com/documents/?uuid=e72eaeca-1930-4e28-ac07-7cb8cd42a1a3"]}],"mendeley":{"formattedCitation":"(Zhao et al., 2019)","manualFormatting":"Zhao et al. (2019","plainTextFormattedCitation":"(Zhao et al., 2019)","previouslyFormattedCitation":"(Zhao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Zhao et al. (2019</w:t>
            </w:r>
            <w:r w:rsidRPr="00803DAB">
              <w:rPr>
                <w:color w:val="auto"/>
                <w:lang w:eastAsia="zh-CN"/>
              </w:rPr>
              <w:fldChar w:fldCharType="end"/>
            </w:r>
            <w:r w:rsidRPr="00803DAB">
              <w:rPr>
                <w:color w:val="auto"/>
                <w:lang w:eastAsia="zh-CN"/>
              </w:rPr>
              <w:t>)</w:t>
            </w:r>
          </w:p>
        </w:tc>
      </w:tr>
      <w:tr w:rsidR="009907BA" w:rsidRPr="00803DAB" w14:paraId="1A6C4A31" w14:textId="77777777" w:rsidTr="00F87A29">
        <w:tc>
          <w:tcPr>
            <w:tcW w:w="467" w:type="pct"/>
            <w:tcBorders>
              <w:top w:val="nil"/>
              <w:bottom w:val="single" w:sz="4" w:space="0" w:color="auto"/>
            </w:tcBorders>
            <w:vAlign w:val="center"/>
          </w:tcPr>
          <w:p w14:paraId="636866A8" w14:textId="77777777" w:rsidR="009907BA" w:rsidRPr="00803DAB" w:rsidRDefault="009907BA" w:rsidP="00F87A29">
            <w:pPr>
              <w:pStyle w:val="17-tablecontent"/>
              <w:rPr>
                <w:color w:val="auto"/>
                <w:lang w:eastAsia="zh-CN"/>
              </w:rPr>
            </w:pPr>
            <w:r w:rsidRPr="00803DAB">
              <w:rPr>
                <w:color w:val="auto"/>
                <w:lang w:eastAsia="zh-CN"/>
              </w:rPr>
              <w:t>Coal</w:t>
            </w:r>
          </w:p>
        </w:tc>
        <w:tc>
          <w:tcPr>
            <w:tcW w:w="316" w:type="pct"/>
            <w:tcBorders>
              <w:top w:val="nil"/>
              <w:bottom w:val="single" w:sz="4" w:space="0" w:color="auto"/>
            </w:tcBorders>
            <w:vAlign w:val="center"/>
          </w:tcPr>
          <w:p w14:paraId="37371625" w14:textId="77777777" w:rsidR="009907BA" w:rsidRPr="00803DAB" w:rsidRDefault="009907BA" w:rsidP="00F87A29">
            <w:pPr>
              <w:pStyle w:val="17-tablecontent"/>
              <w:rPr>
                <w:color w:val="auto"/>
                <w:lang w:eastAsia="zh-CN"/>
              </w:rPr>
            </w:pPr>
            <w:r w:rsidRPr="00803DAB">
              <w:rPr>
                <w:color w:val="auto"/>
                <w:lang w:eastAsia="zh-CN"/>
              </w:rPr>
              <w:t>14.5</w:t>
            </w:r>
          </w:p>
        </w:tc>
        <w:tc>
          <w:tcPr>
            <w:tcW w:w="302" w:type="pct"/>
            <w:tcBorders>
              <w:top w:val="nil"/>
              <w:left w:val="nil"/>
              <w:bottom w:val="single" w:sz="4" w:space="0" w:color="auto"/>
              <w:right w:val="nil"/>
            </w:tcBorders>
            <w:shd w:val="clear" w:color="auto" w:fill="auto"/>
            <w:vAlign w:val="center"/>
          </w:tcPr>
          <w:p w14:paraId="57595E7C" w14:textId="77777777" w:rsidR="009907BA" w:rsidRPr="00803DAB" w:rsidRDefault="009907BA" w:rsidP="00F87A29">
            <w:pPr>
              <w:pStyle w:val="17-tablecontent"/>
              <w:rPr>
                <w:color w:val="auto"/>
                <w:lang w:eastAsia="zh-CN"/>
              </w:rPr>
            </w:pPr>
            <w:r w:rsidRPr="00803DAB">
              <w:rPr>
                <w:color w:val="auto"/>
                <w:lang w:eastAsia="zh-CN"/>
              </w:rPr>
              <w:t xml:space="preserve">8.06 </w:t>
            </w:r>
          </w:p>
        </w:tc>
        <w:tc>
          <w:tcPr>
            <w:tcW w:w="302" w:type="pct"/>
            <w:tcBorders>
              <w:top w:val="nil"/>
              <w:left w:val="nil"/>
              <w:bottom w:val="single" w:sz="4" w:space="0" w:color="auto"/>
              <w:right w:val="nil"/>
            </w:tcBorders>
            <w:shd w:val="clear" w:color="auto" w:fill="auto"/>
            <w:vAlign w:val="center"/>
          </w:tcPr>
          <w:p w14:paraId="1A8A9B1C" w14:textId="77777777" w:rsidR="009907BA" w:rsidRPr="00803DAB" w:rsidRDefault="009907BA" w:rsidP="00F87A29">
            <w:pPr>
              <w:pStyle w:val="17-tablecontent"/>
              <w:rPr>
                <w:color w:val="auto"/>
                <w:lang w:eastAsia="zh-CN"/>
              </w:rPr>
            </w:pPr>
            <w:r w:rsidRPr="00803DAB">
              <w:rPr>
                <w:color w:val="auto"/>
                <w:lang w:eastAsia="zh-CN"/>
              </w:rPr>
              <w:t xml:space="preserve">9.02 </w:t>
            </w:r>
          </w:p>
        </w:tc>
        <w:tc>
          <w:tcPr>
            <w:tcW w:w="302" w:type="pct"/>
            <w:tcBorders>
              <w:top w:val="nil"/>
              <w:left w:val="nil"/>
              <w:bottom w:val="single" w:sz="4" w:space="0" w:color="auto"/>
              <w:right w:val="nil"/>
            </w:tcBorders>
            <w:shd w:val="clear" w:color="auto" w:fill="auto"/>
            <w:vAlign w:val="center"/>
          </w:tcPr>
          <w:p w14:paraId="526D2F67" w14:textId="77777777" w:rsidR="009907BA" w:rsidRPr="00803DAB" w:rsidRDefault="009907BA" w:rsidP="00F87A29">
            <w:pPr>
              <w:pStyle w:val="17-tablecontent"/>
              <w:rPr>
                <w:color w:val="auto"/>
                <w:lang w:eastAsia="zh-CN"/>
              </w:rPr>
            </w:pPr>
            <w:r w:rsidRPr="00803DAB">
              <w:rPr>
                <w:color w:val="auto"/>
                <w:lang w:eastAsia="zh-CN"/>
              </w:rPr>
              <w:t xml:space="preserve">9.52 </w:t>
            </w:r>
          </w:p>
        </w:tc>
        <w:tc>
          <w:tcPr>
            <w:tcW w:w="302" w:type="pct"/>
            <w:tcBorders>
              <w:top w:val="nil"/>
              <w:left w:val="nil"/>
              <w:bottom w:val="single" w:sz="4" w:space="0" w:color="auto"/>
              <w:right w:val="nil"/>
            </w:tcBorders>
            <w:shd w:val="clear" w:color="auto" w:fill="auto"/>
            <w:vAlign w:val="center"/>
          </w:tcPr>
          <w:p w14:paraId="41C05F08" w14:textId="77777777" w:rsidR="009907BA" w:rsidRPr="00803DAB" w:rsidRDefault="009907BA" w:rsidP="00F87A29">
            <w:pPr>
              <w:pStyle w:val="17-tablecontent"/>
              <w:rPr>
                <w:color w:val="auto"/>
                <w:lang w:eastAsia="zh-CN"/>
              </w:rPr>
            </w:pPr>
            <w:r w:rsidRPr="00803DAB">
              <w:rPr>
                <w:color w:val="auto"/>
                <w:lang w:eastAsia="zh-CN"/>
              </w:rPr>
              <w:t xml:space="preserve">10.06 </w:t>
            </w:r>
          </w:p>
        </w:tc>
        <w:tc>
          <w:tcPr>
            <w:tcW w:w="302" w:type="pct"/>
            <w:tcBorders>
              <w:top w:val="nil"/>
              <w:left w:val="nil"/>
              <w:bottom w:val="single" w:sz="4" w:space="0" w:color="auto"/>
              <w:right w:val="nil"/>
            </w:tcBorders>
            <w:shd w:val="clear" w:color="auto" w:fill="auto"/>
            <w:vAlign w:val="center"/>
          </w:tcPr>
          <w:p w14:paraId="0C0A7CDE" w14:textId="77777777" w:rsidR="009907BA" w:rsidRPr="00803DAB" w:rsidRDefault="009907BA" w:rsidP="00F87A29">
            <w:pPr>
              <w:pStyle w:val="17-tablecontent"/>
              <w:rPr>
                <w:color w:val="auto"/>
                <w:lang w:eastAsia="zh-CN"/>
              </w:rPr>
            </w:pPr>
            <w:r w:rsidRPr="00803DAB">
              <w:rPr>
                <w:color w:val="auto"/>
                <w:lang w:eastAsia="zh-CN"/>
              </w:rPr>
              <w:t xml:space="preserve">10.54 </w:t>
            </w:r>
          </w:p>
        </w:tc>
        <w:tc>
          <w:tcPr>
            <w:tcW w:w="302" w:type="pct"/>
            <w:tcBorders>
              <w:top w:val="nil"/>
              <w:left w:val="nil"/>
              <w:bottom w:val="single" w:sz="4" w:space="0" w:color="auto"/>
              <w:right w:val="nil"/>
            </w:tcBorders>
            <w:shd w:val="clear" w:color="auto" w:fill="auto"/>
            <w:vAlign w:val="center"/>
          </w:tcPr>
          <w:p w14:paraId="096504A7" w14:textId="77777777" w:rsidR="009907BA" w:rsidRPr="00803DAB" w:rsidRDefault="009907BA" w:rsidP="00F87A29">
            <w:pPr>
              <w:pStyle w:val="17-tablecontent"/>
              <w:rPr>
                <w:color w:val="auto"/>
                <w:lang w:eastAsia="zh-CN"/>
              </w:rPr>
            </w:pPr>
            <w:r w:rsidRPr="00803DAB">
              <w:rPr>
                <w:color w:val="auto"/>
                <w:lang w:eastAsia="zh-CN"/>
              </w:rPr>
              <w:t xml:space="preserve">11.16 </w:t>
            </w:r>
          </w:p>
        </w:tc>
        <w:tc>
          <w:tcPr>
            <w:tcW w:w="302" w:type="pct"/>
            <w:tcBorders>
              <w:top w:val="nil"/>
              <w:left w:val="nil"/>
              <w:bottom w:val="single" w:sz="4" w:space="0" w:color="auto"/>
              <w:right w:val="nil"/>
            </w:tcBorders>
            <w:shd w:val="clear" w:color="auto" w:fill="auto"/>
            <w:vAlign w:val="center"/>
          </w:tcPr>
          <w:p w14:paraId="03703065" w14:textId="77777777" w:rsidR="009907BA" w:rsidRPr="00803DAB" w:rsidRDefault="009907BA" w:rsidP="00F87A29">
            <w:pPr>
              <w:pStyle w:val="17-tablecontent"/>
              <w:rPr>
                <w:color w:val="auto"/>
                <w:lang w:eastAsia="zh-CN"/>
              </w:rPr>
            </w:pPr>
            <w:r w:rsidRPr="00803DAB">
              <w:rPr>
                <w:color w:val="auto"/>
                <w:lang w:eastAsia="zh-CN"/>
              </w:rPr>
              <w:t xml:space="preserve">13.61 </w:t>
            </w:r>
          </w:p>
        </w:tc>
        <w:tc>
          <w:tcPr>
            <w:tcW w:w="230" w:type="pct"/>
            <w:tcBorders>
              <w:top w:val="nil"/>
              <w:left w:val="nil"/>
              <w:bottom w:val="single" w:sz="4" w:space="0" w:color="auto"/>
              <w:right w:val="nil"/>
            </w:tcBorders>
            <w:shd w:val="clear" w:color="auto" w:fill="auto"/>
            <w:vAlign w:val="center"/>
          </w:tcPr>
          <w:p w14:paraId="01FD4F3D" w14:textId="77777777" w:rsidR="009907BA" w:rsidRPr="00803DAB" w:rsidRDefault="009907BA" w:rsidP="00F87A29">
            <w:pPr>
              <w:pStyle w:val="17-tablecontent"/>
              <w:rPr>
                <w:color w:val="auto"/>
                <w:lang w:eastAsia="zh-CN"/>
              </w:rPr>
            </w:pPr>
            <w:r w:rsidRPr="00803DAB">
              <w:rPr>
                <w:color w:val="auto"/>
                <w:lang w:eastAsia="zh-CN"/>
              </w:rPr>
              <w:t xml:space="preserve">0.56 </w:t>
            </w:r>
          </w:p>
        </w:tc>
        <w:tc>
          <w:tcPr>
            <w:tcW w:w="230" w:type="pct"/>
            <w:tcBorders>
              <w:top w:val="nil"/>
              <w:left w:val="nil"/>
              <w:bottom w:val="single" w:sz="4" w:space="0" w:color="auto"/>
              <w:right w:val="nil"/>
            </w:tcBorders>
            <w:shd w:val="clear" w:color="auto" w:fill="auto"/>
            <w:vAlign w:val="center"/>
          </w:tcPr>
          <w:p w14:paraId="6DD581A4" w14:textId="77777777" w:rsidR="009907BA" w:rsidRPr="00803DAB" w:rsidRDefault="009907BA" w:rsidP="00F87A29">
            <w:pPr>
              <w:pStyle w:val="17-tablecontent"/>
              <w:rPr>
                <w:color w:val="auto"/>
                <w:lang w:eastAsia="zh-CN"/>
              </w:rPr>
            </w:pPr>
            <w:r w:rsidRPr="00803DAB">
              <w:rPr>
                <w:color w:val="auto"/>
                <w:lang w:eastAsia="zh-CN"/>
              </w:rPr>
              <w:t xml:space="preserve">0.62 </w:t>
            </w:r>
          </w:p>
        </w:tc>
        <w:tc>
          <w:tcPr>
            <w:tcW w:w="230" w:type="pct"/>
            <w:tcBorders>
              <w:top w:val="nil"/>
              <w:left w:val="nil"/>
              <w:bottom w:val="single" w:sz="4" w:space="0" w:color="auto"/>
              <w:right w:val="nil"/>
            </w:tcBorders>
            <w:shd w:val="clear" w:color="auto" w:fill="auto"/>
            <w:vAlign w:val="center"/>
          </w:tcPr>
          <w:p w14:paraId="32DB7069" w14:textId="77777777" w:rsidR="009907BA" w:rsidRPr="00803DAB" w:rsidRDefault="009907BA" w:rsidP="00F87A29">
            <w:pPr>
              <w:pStyle w:val="17-tablecontent"/>
              <w:rPr>
                <w:color w:val="auto"/>
                <w:lang w:eastAsia="zh-CN"/>
              </w:rPr>
            </w:pPr>
            <w:r w:rsidRPr="00803DAB">
              <w:rPr>
                <w:color w:val="auto"/>
                <w:lang w:eastAsia="zh-CN"/>
              </w:rPr>
              <w:t xml:space="preserve">0.66 </w:t>
            </w:r>
          </w:p>
        </w:tc>
        <w:tc>
          <w:tcPr>
            <w:tcW w:w="230" w:type="pct"/>
            <w:tcBorders>
              <w:top w:val="nil"/>
              <w:left w:val="nil"/>
              <w:bottom w:val="single" w:sz="4" w:space="0" w:color="auto"/>
              <w:right w:val="nil"/>
            </w:tcBorders>
            <w:shd w:val="clear" w:color="auto" w:fill="auto"/>
            <w:vAlign w:val="center"/>
          </w:tcPr>
          <w:p w14:paraId="2774320E" w14:textId="77777777" w:rsidR="009907BA" w:rsidRPr="00803DAB" w:rsidRDefault="009907BA" w:rsidP="00F87A29">
            <w:pPr>
              <w:pStyle w:val="17-tablecontent"/>
              <w:rPr>
                <w:color w:val="auto"/>
                <w:lang w:eastAsia="zh-CN"/>
              </w:rPr>
            </w:pPr>
            <w:r w:rsidRPr="00803DAB">
              <w:rPr>
                <w:color w:val="auto"/>
                <w:lang w:eastAsia="zh-CN"/>
              </w:rPr>
              <w:t xml:space="preserve">0.69 </w:t>
            </w:r>
          </w:p>
        </w:tc>
        <w:tc>
          <w:tcPr>
            <w:tcW w:w="230" w:type="pct"/>
            <w:tcBorders>
              <w:top w:val="nil"/>
              <w:left w:val="nil"/>
              <w:bottom w:val="single" w:sz="4" w:space="0" w:color="auto"/>
              <w:right w:val="nil"/>
            </w:tcBorders>
            <w:shd w:val="clear" w:color="auto" w:fill="auto"/>
            <w:vAlign w:val="center"/>
          </w:tcPr>
          <w:p w14:paraId="2FB1089F" w14:textId="77777777" w:rsidR="009907BA" w:rsidRPr="00803DAB" w:rsidRDefault="009907BA" w:rsidP="00F87A29">
            <w:pPr>
              <w:pStyle w:val="17-tablecontent"/>
              <w:rPr>
                <w:color w:val="auto"/>
                <w:lang w:eastAsia="zh-CN"/>
              </w:rPr>
            </w:pPr>
            <w:r w:rsidRPr="00803DAB">
              <w:rPr>
                <w:color w:val="auto"/>
                <w:lang w:eastAsia="zh-CN"/>
              </w:rPr>
              <w:t xml:space="preserve">0.73 </w:t>
            </w:r>
          </w:p>
        </w:tc>
        <w:tc>
          <w:tcPr>
            <w:tcW w:w="230" w:type="pct"/>
            <w:tcBorders>
              <w:top w:val="nil"/>
              <w:left w:val="nil"/>
              <w:bottom w:val="single" w:sz="4" w:space="0" w:color="auto"/>
              <w:right w:val="nil"/>
            </w:tcBorders>
            <w:shd w:val="clear" w:color="auto" w:fill="auto"/>
            <w:vAlign w:val="center"/>
          </w:tcPr>
          <w:p w14:paraId="35A484D1" w14:textId="77777777" w:rsidR="009907BA" w:rsidRPr="00803DAB" w:rsidRDefault="009907BA" w:rsidP="00F87A29">
            <w:pPr>
              <w:pStyle w:val="17-tablecontent"/>
              <w:rPr>
                <w:color w:val="auto"/>
                <w:lang w:eastAsia="zh-CN"/>
              </w:rPr>
            </w:pPr>
            <w:r w:rsidRPr="00803DAB">
              <w:rPr>
                <w:color w:val="auto"/>
                <w:lang w:eastAsia="zh-CN"/>
              </w:rPr>
              <w:t xml:space="preserve">0.77 </w:t>
            </w:r>
          </w:p>
        </w:tc>
        <w:tc>
          <w:tcPr>
            <w:tcW w:w="230" w:type="pct"/>
            <w:tcBorders>
              <w:top w:val="nil"/>
              <w:left w:val="nil"/>
              <w:bottom w:val="single" w:sz="4" w:space="0" w:color="auto"/>
              <w:right w:val="nil"/>
            </w:tcBorders>
            <w:shd w:val="clear" w:color="auto" w:fill="auto"/>
            <w:vAlign w:val="center"/>
          </w:tcPr>
          <w:p w14:paraId="03882397" w14:textId="77777777" w:rsidR="009907BA" w:rsidRPr="00803DAB" w:rsidRDefault="009907BA" w:rsidP="00F87A29">
            <w:pPr>
              <w:pStyle w:val="17-tablecontent"/>
              <w:rPr>
                <w:color w:val="auto"/>
                <w:lang w:eastAsia="zh-CN"/>
              </w:rPr>
            </w:pPr>
            <w:r w:rsidRPr="00803DAB">
              <w:rPr>
                <w:color w:val="auto"/>
                <w:lang w:eastAsia="zh-CN"/>
              </w:rPr>
              <w:t xml:space="preserve">0.94 </w:t>
            </w:r>
          </w:p>
        </w:tc>
        <w:tc>
          <w:tcPr>
            <w:tcW w:w="488" w:type="pct"/>
            <w:tcBorders>
              <w:top w:val="nil"/>
              <w:bottom w:val="single" w:sz="4" w:space="0" w:color="auto"/>
            </w:tcBorders>
            <w:vAlign w:val="center"/>
          </w:tcPr>
          <w:p w14:paraId="18CA0D48" w14:textId="53C5B3C7"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{"citationItems":[{"id":"ITEM-1","itemData":{"DOI":"10.1016/j.ijrmms.2019.03.022","ISSN":"13651609","abstract":"To study the influence of hydraulic slotting inclination on the mechanical behaviors of coal seam during mining process, uniaxial compression experiments on coal specimens with a single pre-existing flaw inclined at 0° 15° 30° 45° 60° 75° 90° and intact specimens were conducted. Acoustic emission (AE) signals in the loading process were monitored, and fractal analysis method was introduced to investigate the AE characteristics. Additionally, the laboratory experiments were simulated by a finite element code. Both the experimental and numerical results show that the existence of a flaw reduces the mechanical properties of coal. The uniaxial compressive strength and modulus of elasticity increase polynomially and linearly with the increase of inclination angle, respectively. When the coal specimen ruptures finally, the fewer the surface secondary cracks or the more the sudden drops of stress, the smaller the peak value of AE count. According to the stress–strain curve, the loading process is divided into five stages: (I) compaction stage; (II) linear elastic stage; (III) stable crack propagation stage; (IV) accelerating crack propagation stage; (V) post peak and residual stage. AE fractal characteristics in various stages of each specimen were determined by Grassberger and Procaccia algorithm based on phase space reconstruction theory. AE count show fractal characteristics from stage III. The fractal dimension declines rapidly in stage IV, and continues to decline further or rise slightly in stage V, but both are lower than that in stage III. Therefore, the changing rule of AE fractal dimension in different loading stages can be used as a precursor to coal and rock dynamic disasters.","author":[{"dropping-particle":"","family":"Li","given":"Dexing","non-dropping-particle":"","parse-names":false,"suffix":""},{"dropping-particle":"","family":"Wang","given":"Enyuan","non-dropping-particle":"","parse-names":false,"suffix":""},{"dropping-particle":"","family":"Kong","given":"Xiangguo","non-dropping-particle":"","parse-names":false,"suffix":""},{"dropping-particle":"","family":"Ali","given":"Muhammad","non-dropping-particle":"","parse-names":false,"suffix":""},{"dropping-particle":"","family":"Wang","given":"Dongming","non-dropping-particle":"","parse-names":false,"suffix":""}],"container-title":"International Journal of Rock Mechanics and Mining Sciences","id":"ITEM-1","issue":"January","issued":{"date-parts":[["2019"]]},"page":"38-51","publisher":"Elsevier Ltd","title":"Mechanical behaviors and acoustic emission fractal characteristics of coal specimens with a pre-existing flaw of various inclinations under uniaxial compression","type":"article-journal","volume":"116"},"uris":["http://www.mendeley.com/documents/?uuid=0e9ca289-e6b6-48a3-95d2-2b841cf01245"]}],"mendeley":{"formattedCitation":"(Li et al., 2019a)","manualFormatting":"Li et al. (2019","plainTextFormattedCitation":"(Li et al., 2019a)","previouslyFormattedCitation":"(Li et al. 2019a)"},"properties":{"noteIndex":0},"schema":"https://github.com/citation-style-language/schema/raw/master/csl-citation.json"}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Li et al. (2019</w:t>
            </w:r>
            <w:r w:rsidRPr="00803DAB">
              <w:rPr>
                <w:color w:val="auto"/>
                <w:lang w:eastAsia="zh-CN"/>
              </w:rPr>
              <w:fldChar w:fldCharType="end"/>
            </w:r>
            <w:r w:rsidR="00235AB3">
              <w:rPr>
                <w:color w:val="auto"/>
                <w:lang w:eastAsia="zh-CN"/>
              </w:rPr>
              <w:t>a</w:t>
            </w:r>
            <w:r w:rsidRPr="00803DAB">
              <w:rPr>
                <w:color w:val="auto"/>
                <w:lang w:eastAsia="zh-CN"/>
              </w:rPr>
              <w:t>)</w:t>
            </w:r>
          </w:p>
        </w:tc>
      </w:tr>
    </w:tbl>
    <w:p w14:paraId="4766F4C5" w14:textId="77777777" w:rsidR="009907BA" w:rsidRPr="00803DAB" w:rsidRDefault="009907BA" w:rsidP="009907BA">
      <w:pPr>
        <w:pStyle w:val="18-tablenote"/>
        <w:rPr>
          <w:color w:val="auto"/>
          <w:lang w:eastAsia="zh-CN"/>
        </w:rPr>
      </w:pPr>
      <w:r w:rsidRPr="00803DAB">
        <w:rPr>
          <w:color w:val="auto"/>
          <w:lang w:eastAsia="zh-CN"/>
        </w:rPr>
        <w:t xml:space="preserve">Note: </w:t>
      </w:r>
      <w:r w:rsidRPr="00803DAB">
        <w:rPr>
          <w:rFonts w:ascii="Times New Roman" w:hAnsi="Times New Roman"/>
          <w:i/>
          <w:color w:val="auto"/>
          <w:lang w:eastAsia="zh-CN"/>
        </w:rPr>
        <w:t>σ</w:t>
      </w:r>
      <w:r w:rsidRPr="00803DAB">
        <w:rPr>
          <w:i/>
          <w:iCs/>
          <w:color w:val="auto"/>
          <w:vertAlign w:val="subscript"/>
          <w:lang w:eastAsia="zh-CN"/>
        </w:rPr>
        <w:t>i</w:t>
      </w:r>
      <w:r w:rsidRPr="00803DAB">
        <w:rPr>
          <w:color w:val="auto"/>
          <w:lang w:eastAsia="zh-CN"/>
        </w:rPr>
        <w:t xml:space="preserve"> is the peak strength of intact samples, </w:t>
      </w:r>
      <w:r w:rsidRPr="00803DAB">
        <w:rPr>
          <w:rFonts w:ascii="Times New Roman" w:hAnsi="Times New Roman"/>
          <w:i/>
          <w:iCs/>
          <w:color w:val="auto"/>
          <w:lang w:eastAsia="zh-CN"/>
        </w:rPr>
        <w:t>σ</w:t>
      </w:r>
      <w:r w:rsidRPr="00803DAB">
        <w:rPr>
          <w:i/>
          <w:iCs/>
          <w:color w:val="auto"/>
          <w:vertAlign w:val="subscript"/>
          <w:lang w:eastAsia="zh-CN"/>
        </w:rPr>
        <w:t>c</w:t>
      </w:r>
      <w:r w:rsidRPr="00803DAB">
        <w:rPr>
          <w:color w:val="auto"/>
          <w:lang w:eastAsia="zh-CN"/>
        </w:rPr>
        <w:t xml:space="preserve"> is the peak strength of pre-cracked samples, the symbol “~” means the datum was obtained from figures.</w:t>
      </w:r>
    </w:p>
    <w:p w14:paraId="53C90188" w14:textId="77777777" w:rsidR="009907BA" w:rsidRPr="00803DAB" w:rsidRDefault="009907BA" w:rsidP="009907BA">
      <w:pPr>
        <w:pStyle w:val="11-maintext"/>
        <w:ind w:firstLine="320"/>
        <w:rPr>
          <w:rFonts w:eastAsia="DengXian"/>
          <w:color w:val="auto"/>
          <w:lang w:eastAsia="zh-CN"/>
        </w:rPr>
      </w:pPr>
    </w:p>
    <w:p w14:paraId="614CA1AF" w14:textId="77777777" w:rsidR="009907BA" w:rsidRPr="00803DAB" w:rsidRDefault="009907BA" w:rsidP="009907BA">
      <w:pPr>
        <w:pStyle w:val="15-table"/>
        <w:rPr>
          <w:color w:val="auto"/>
          <w:lang w:eastAsia="zh-CN"/>
        </w:rPr>
      </w:pPr>
      <w:r w:rsidRPr="00803DAB">
        <w:rPr>
          <w:color w:val="auto"/>
          <w:lang w:eastAsia="zh-CN"/>
        </w:rPr>
        <w:t>Table A2</w:t>
      </w:r>
    </w:p>
    <w:p w14:paraId="53E3AA43" w14:textId="77777777" w:rsidR="009907BA" w:rsidRPr="00803DAB" w:rsidRDefault="009907BA" w:rsidP="009907BA">
      <w:pPr>
        <w:pStyle w:val="16-tablecaption"/>
        <w:rPr>
          <w:color w:val="auto"/>
          <w:lang w:eastAsia="zh-CN"/>
        </w:rPr>
      </w:pPr>
      <w:r w:rsidRPr="00803DAB">
        <w:rPr>
          <w:color w:val="auto"/>
          <w:lang w:eastAsia="zh-CN"/>
        </w:rPr>
        <w:t>Elastic modulus of samples containing a single flaw.</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24"/>
        <w:gridCol w:w="531"/>
        <w:gridCol w:w="531"/>
        <w:gridCol w:w="531"/>
        <w:gridCol w:w="531"/>
        <w:gridCol w:w="531"/>
        <w:gridCol w:w="531"/>
        <w:gridCol w:w="531"/>
        <w:gridCol w:w="459"/>
        <w:gridCol w:w="459"/>
        <w:gridCol w:w="459"/>
        <w:gridCol w:w="459"/>
        <w:gridCol w:w="459"/>
        <w:gridCol w:w="459"/>
        <w:gridCol w:w="459"/>
        <w:gridCol w:w="1404"/>
      </w:tblGrid>
      <w:tr w:rsidR="009907BA" w:rsidRPr="00803DAB" w14:paraId="4C4BC692" w14:textId="77777777" w:rsidTr="00F87A29">
        <w:tc>
          <w:tcPr>
            <w:tcW w:w="407" w:type="pct"/>
            <w:vMerge w:val="restart"/>
            <w:tcBorders>
              <w:top w:val="single" w:sz="4" w:space="0" w:color="auto"/>
              <w:bottom w:val="nil"/>
            </w:tcBorders>
            <w:vAlign w:val="center"/>
          </w:tcPr>
          <w:p w14:paraId="6007B790" w14:textId="77777777" w:rsidR="009907BA" w:rsidRPr="00803DAB" w:rsidRDefault="009907BA" w:rsidP="00F87A29">
            <w:pPr>
              <w:pStyle w:val="17-tablecontent"/>
              <w:rPr>
                <w:color w:val="auto"/>
                <w:lang w:eastAsia="zh-CN"/>
              </w:rPr>
            </w:pPr>
            <w:r w:rsidRPr="00803DAB">
              <w:rPr>
                <w:color w:val="auto"/>
                <w:lang w:eastAsia="zh-CN"/>
              </w:rPr>
              <w:t>Material</w:t>
            </w:r>
          </w:p>
        </w:tc>
        <w:tc>
          <w:tcPr>
            <w:tcW w:w="320" w:type="pct"/>
            <w:vMerge w:val="restart"/>
            <w:tcBorders>
              <w:top w:val="single" w:sz="4" w:space="0" w:color="auto"/>
              <w:bottom w:val="nil"/>
            </w:tcBorders>
            <w:vAlign w:val="center"/>
          </w:tcPr>
          <w:p w14:paraId="2319E662" w14:textId="77777777" w:rsidR="009907BA" w:rsidRPr="00803DAB" w:rsidRDefault="009907BA" w:rsidP="00F87A29">
            <w:pPr>
              <w:pStyle w:val="17-tablecontent"/>
              <w:rPr>
                <w:color w:val="auto"/>
                <w:vertAlign w:val="subscript"/>
                <w:lang w:eastAsia="zh-CN"/>
              </w:rPr>
            </w:pPr>
            <w:r w:rsidRPr="00803DAB">
              <w:rPr>
                <w:i/>
                <w:iCs/>
                <w:color w:val="auto"/>
                <w:lang w:eastAsia="zh-CN"/>
              </w:rPr>
              <w:t>E</w:t>
            </w:r>
            <w:r w:rsidRPr="00803DAB">
              <w:rPr>
                <w:color w:val="auto"/>
                <w:vertAlign w:val="subscript"/>
                <w:lang w:eastAsia="zh-CN"/>
              </w:rPr>
              <w:t>i</w:t>
            </w:r>
          </w:p>
          <w:p w14:paraId="33A7F3A0" w14:textId="77777777" w:rsidR="009907BA" w:rsidRPr="00803DAB" w:rsidRDefault="009907BA" w:rsidP="00F87A29">
            <w:pPr>
              <w:pStyle w:val="17-tablecontent"/>
              <w:rPr>
                <w:color w:val="auto"/>
                <w:lang w:eastAsia="zh-CN"/>
              </w:rPr>
            </w:pPr>
            <w:r w:rsidRPr="00803DAB">
              <w:rPr>
                <w:color w:val="auto"/>
                <w:lang w:eastAsia="zh-CN"/>
              </w:rPr>
              <w:t>(GPa)</w:t>
            </w:r>
          </w:p>
        </w:tc>
        <w:tc>
          <w:tcPr>
            <w:tcW w:w="1904" w:type="pct"/>
            <w:gridSpan w:val="7"/>
            <w:tcBorders>
              <w:top w:val="single" w:sz="4" w:space="0" w:color="auto"/>
              <w:bottom w:val="single" w:sz="4" w:space="0" w:color="auto"/>
            </w:tcBorders>
            <w:vAlign w:val="center"/>
          </w:tcPr>
          <w:p w14:paraId="4D3A198A" w14:textId="77777777" w:rsidR="009907BA" w:rsidRPr="00803DAB" w:rsidRDefault="009907BA" w:rsidP="00F87A29">
            <w:pPr>
              <w:pStyle w:val="17-tablecontent"/>
              <w:rPr>
                <w:color w:val="auto"/>
                <w:lang w:eastAsia="zh-CN"/>
              </w:rPr>
            </w:pPr>
            <w:r w:rsidRPr="00803DAB">
              <w:rPr>
                <w:i/>
                <w:iCs/>
                <w:color w:val="auto"/>
                <w:lang w:eastAsia="zh-CN"/>
              </w:rPr>
              <w:t>E</w:t>
            </w:r>
            <w:r w:rsidRPr="00803DAB">
              <w:rPr>
                <w:color w:val="auto"/>
                <w:vertAlign w:val="subscript"/>
                <w:lang w:eastAsia="zh-CN"/>
              </w:rPr>
              <w:t>c</w:t>
            </w:r>
            <w:r w:rsidRPr="00803DAB">
              <w:rPr>
                <w:color w:val="auto"/>
                <w:lang w:eastAsia="zh-CN"/>
              </w:rPr>
              <w:t xml:space="preserve"> (GPa)</w:t>
            </w:r>
          </w:p>
        </w:tc>
        <w:tc>
          <w:tcPr>
            <w:tcW w:w="1646" w:type="pct"/>
            <w:gridSpan w:val="7"/>
            <w:tcBorders>
              <w:top w:val="single" w:sz="4" w:space="0" w:color="auto"/>
              <w:bottom w:val="single" w:sz="4" w:space="0" w:color="auto"/>
            </w:tcBorders>
            <w:vAlign w:val="center"/>
          </w:tcPr>
          <w:p w14:paraId="48F2A9DC" w14:textId="77777777" w:rsidR="009907BA" w:rsidRPr="00803DAB" w:rsidRDefault="009907BA" w:rsidP="00F87A29">
            <w:pPr>
              <w:pStyle w:val="17-tablecontent"/>
              <w:rPr>
                <w:color w:val="auto"/>
                <w:lang w:eastAsia="zh-CN"/>
              </w:rPr>
            </w:pPr>
            <w:r w:rsidRPr="00803DAB">
              <w:rPr>
                <w:i/>
                <w:iCs/>
                <w:color w:val="auto"/>
                <w:lang w:eastAsia="zh-CN"/>
              </w:rPr>
              <w:t>E</w:t>
            </w:r>
            <w:r w:rsidRPr="00803DAB">
              <w:rPr>
                <w:color w:val="auto"/>
                <w:vertAlign w:val="subscript"/>
                <w:lang w:eastAsia="zh-CN"/>
              </w:rPr>
              <w:t>c</w:t>
            </w:r>
            <w:r w:rsidRPr="00803DAB">
              <w:rPr>
                <w:color w:val="auto"/>
                <w:lang w:eastAsia="zh-CN"/>
              </w:rPr>
              <w:t>/</w:t>
            </w:r>
            <w:r w:rsidRPr="00803DAB">
              <w:rPr>
                <w:i/>
                <w:iCs/>
                <w:color w:val="auto"/>
                <w:lang w:eastAsia="zh-CN"/>
              </w:rPr>
              <w:t>E</w:t>
            </w:r>
            <w:r w:rsidRPr="00803DAB">
              <w:rPr>
                <w:color w:val="auto"/>
                <w:vertAlign w:val="subscript"/>
                <w:lang w:eastAsia="zh-CN"/>
              </w:rPr>
              <w:t>i</w:t>
            </w:r>
          </w:p>
        </w:tc>
        <w:tc>
          <w:tcPr>
            <w:tcW w:w="723" w:type="pct"/>
            <w:vMerge w:val="restart"/>
            <w:tcBorders>
              <w:top w:val="single" w:sz="4" w:space="0" w:color="auto"/>
              <w:bottom w:val="single" w:sz="4" w:space="0" w:color="auto"/>
            </w:tcBorders>
            <w:vAlign w:val="center"/>
          </w:tcPr>
          <w:p w14:paraId="206B37E3" w14:textId="77777777" w:rsidR="009907BA" w:rsidRPr="00803DAB" w:rsidRDefault="009907BA" w:rsidP="00F87A29">
            <w:pPr>
              <w:pStyle w:val="17-tablecontent"/>
              <w:rPr>
                <w:color w:val="auto"/>
                <w:lang w:eastAsia="zh-CN"/>
              </w:rPr>
            </w:pPr>
            <w:r w:rsidRPr="00803DAB">
              <w:rPr>
                <w:color w:val="auto"/>
                <w:lang w:eastAsia="zh-CN"/>
              </w:rPr>
              <w:t>Source</w:t>
            </w:r>
          </w:p>
        </w:tc>
      </w:tr>
      <w:tr w:rsidR="009907BA" w:rsidRPr="00803DAB" w14:paraId="2D114704" w14:textId="77777777" w:rsidTr="00F87A29">
        <w:tc>
          <w:tcPr>
            <w:tcW w:w="407" w:type="pct"/>
            <w:vMerge/>
            <w:tcBorders>
              <w:top w:val="nil"/>
              <w:bottom w:val="single" w:sz="4" w:space="0" w:color="auto"/>
            </w:tcBorders>
            <w:vAlign w:val="center"/>
          </w:tcPr>
          <w:p w14:paraId="120DB758" w14:textId="77777777" w:rsidR="009907BA" w:rsidRPr="00803DAB" w:rsidRDefault="009907BA" w:rsidP="00F87A29">
            <w:pPr>
              <w:pStyle w:val="17-tablecontent"/>
              <w:rPr>
                <w:color w:val="auto"/>
                <w:lang w:eastAsia="zh-CN"/>
              </w:rPr>
            </w:pPr>
          </w:p>
        </w:tc>
        <w:tc>
          <w:tcPr>
            <w:tcW w:w="320" w:type="pct"/>
            <w:vMerge/>
            <w:tcBorders>
              <w:top w:val="nil"/>
              <w:bottom w:val="single" w:sz="4" w:space="0" w:color="auto"/>
            </w:tcBorders>
            <w:vAlign w:val="center"/>
          </w:tcPr>
          <w:p w14:paraId="333F5874" w14:textId="77777777" w:rsidR="009907BA" w:rsidRPr="00803DAB" w:rsidRDefault="009907BA" w:rsidP="00F87A29">
            <w:pPr>
              <w:pStyle w:val="17-tablecontent"/>
              <w:rPr>
                <w:color w:val="auto"/>
                <w:lang w:eastAsia="zh-CN"/>
              </w:rPr>
            </w:pPr>
          </w:p>
        </w:tc>
        <w:tc>
          <w:tcPr>
            <w:tcW w:w="272" w:type="pct"/>
            <w:tcBorders>
              <w:top w:val="single" w:sz="4" w:space="0" w:color="auto"/>
              <w:bottom w:val="single" w:sz="4" w:space="0" w:color="auto"/>
            </w:tcBorders>
            <w:vAlign w:val="center"/>
          </w:tcPr>
          <w:p w14:paraId="2031176F" w14:textId="77777777" w:rsidR="009907BA" w:rsidRPr="00803DAB" w:rsidRDefault="009907BA" w:rsidP="00F87A29">
            <w:pPr>
              <w:pStyle w:val="17-tablecontent"/>
              <w:rPr>
                <w:color w:val="auto"/>
                <w:lang w:eastAsia="zh-CN"/>
              </w:rPr>
            </w:pPr>
            <w:r w:rsidRPr="00803DAB">
              <w:rPr>
                <w:color w:val="auto"/>
                <w:lang w:eastAsia="zh-CN"/>
              </w:rPr>
              <w:t>0°</w:t>
            </w:r>
          </w:p>
        </w:tc>
        <w:tc>
          <w:tcPr>
            <w:tcW w:w="272" w:type="pct"/>
            <w:tcBorders>
              <w:top w:val="single" w:sz="4" w:space="0" w:color="auto"/>
              <w:bottom w:val="single" w:sz="4" w:space="0" w:color="auto"/>
            </w:tcBorders>
            <w:vAlign w:val="center"/>
          </w:tcPr>
          <w:p w14:paraId="165CC722" w14:textId="77777777" w:rsidR="009907BA" w:rsidRPr="00803DAB" w:rsidRDefault="009907BA" w:rsidP="00F87A29">
            <w:pPr>
              <w:pStyle w:val="17-tablecontent"/>
              <w:rPr>
                <w:color w:val="auto"/>
                <w:lang w:eastAsia="zh-CN"/>
              </w:rPr>
            </w:pPr>
            <w:r w:rsidRPr="00803DAB">
              <w:rPr>
                <w:color w:val="auto"/>
                <w:lang w:eastAsia="zh-CN"/>
              </w:rPr>
              <w:t>15°</w:t>
            </w:r>
          </w:p>
        </w:tc>
        <w:tc>
          <w:tcPr>
            <w:tcW w:w="272" w:type="pct"/>
            <w:tcBorders>
              <w:top w:val="single" w:sz="4" w:space="0" w:color="auto"/>
              <w:bottom w:val="single" w:sz="4" w:space="0" w:color="auto"/>
            </w:tcBorders>
            <w:vAlign w:val="center"/>
          </w:tcPr>
          <w:p w14:paraId="0050139C" w14:textId="77777777" w:rsidR="009907BA" w:rsidRPr="00803DAB" w:rsidRDefault="009907BA" w:rsidP="00F87A29">
            <w:pPr>
              <w:pStyle w:val="17-tablecontent"/>
              <w:rPr>
                <w:color w:val="auto"/>
                <w:lang w:eastAsia="zh-CN"/>
              </w:rPr>
            </w:pPr>
            <w:r w:rsidRPr="00803DAB">
              <w:rPr>
                <w:color w:val="auto"/>
                <w:lang w:eastAsia="zh-CN"/>
              </w:rPr>
              <w:t>30°</w:t>
            </w:r>
          </w:p>
        </w:tc>
        <w:tc>
          <w:tcPr>
            <w:tcW w:w="272" w:type="pct"/>
            <w:tcBorders>
              <w:top w:val="single" w:sz="4" w:space="0" w:color="auto"/>
              <w:bottom w:val="single" w:sz="4" w:space="0" w:color="auto"/>
            </w:tcBorders>
            <w:vAlign w:val="center"/>
          </w:tcPr>
          <w:p w14:paraId="1B0CFA40" w14:textId="77777777" w:rsidR="009907BA" w:rsidRPr="00803DAB" w:rsidRDefault="009907BA" w:rsidP="00F87A29">
            <w:pPr>
              <w:pStyle w:val="17-tablecontent"/>
              <w:rPr>
                <w:color w:val="auto"/>
                <w:lang w:eastAsia="zh-CN"/>
              </w:rPr>
            </w:pPr>
            <w:r w:rsidRPr="00803DAB">
              <w:rPr>
                <w:color w:val="auto"/>
                <w:lang w:eastAsia="zh-CN"/>
              </w:rPr>
              <w:t>45°</w:t>
            </w:r>
          </w:p>
        </w:tc>
        <w:tc>
          <w:tcPr>
            <w:tcW w:w="272" w:type="pct"/>
            <w:tcBorders>
              <w:top w:val="single" w:sz="4" w:space="0" w:color="auto"/>
              <w:bottom w:val="single" w:sz="4" w:space="0" w:color="auto"/>
            </w:tcBorders>
            <w:vAlign w:val="center"/>
          </w:tcPr>
          <w:p w14:paraId="5BE93407" w14:textId="77777777" w:rsidR="009907BA" w:rsidRPr="00803DAB" w:rsidRDefault="009907BA" w:rsidP="00F87A29">
            <w:pPr>
              <w:pStyle w:val="17-tablecontent"/>
              <w:rPr>
                <w:color w:val="auto"/>
                <w:lang w:eastAsia="zh-CN"/>
              </w:rPr>
            </w:pPr>
            <w:r w:rsidRPr="00803DAB">
              <w:rPr>
                <w:color w:val="auto"/>
                <w:lang w:eastAsia="zh-CN"/>
              </w:rPr>
              <w:t>60°</w:t>
            </w:r>
          </w:p>
        </w:tc>
        <w:tc>
          <w:tcPr>
            <w:tcW w:w="272" w:type="pct"/>
            <w:tcBorders>
              <w:top w:val="single" w:sz="4" w:space="0" w:color="auto"/>
              <w:bottom w:val="single" w:sz="4" w:space="0" w:color="auto"/>
            </w:tcBorders>
            <w:vAlign w:val="center"/>
          </w:tcPr>
          <w:p w14:paraId="1C7DE369" w14:textId="77777777" w:rsidR="009907BA" w:rsidRPr="00803DAB" w:rsidRDefault="009907BA" w:rsidP="00F87A29">
            <w:pPr>
              <w:pStyle w:val="17-tablecontent"/>
              <w:rPr>
                <w:color w:val="auto"/>
                <w:lang w:eastAsia="zh-CN"/>
              </w:rPr>
            </w:pPr>
            <w:r w:rsidRPr="00803DAB">
              <w:rPr>
                <w:color w:val="auto"/>
                <w:lang w:eastAsia="zh-CN"/>
              </w:rPr>
              <w:t>75°</w:t>
            </w:r>
          </w:p>
        </w:tc>
        <w:tc>
          <w:tcPr>
            <w:tcW w:w="272" w:type="pct"/>
            <w:tcBorders>
              <w:top w:val="single" w:sz="4" w:space="0" w:color="auto"/>
              <w:bottom w:val="single" w:sz="4" w:space="0" w:color="auto"/>
            </w:tcBorders>
            <w:vAlign w:val="center"/>
          </w:tcPr>
          <w:p w14:paraId="2489F815" w14:textId="77777777" w:rsidR="009907BA" w:rsidRPr="00803DAB" w:rsidRDefault="009907BA" w:rsidP="00F87A29">
            <w:pPr>
              <w:pStyle w:val="17-tablecontent"/>
              <w:rPr>
                <w:color w:val="auto"/>
                <w:lang w:eastAsia="zh-CN"/>
              </w:rPr>
            </w:pPr>
            <w:r w:rsidRPr="00803DAB">
              <w:rPr>
                <w:color w:val="auto"/>
                <w:lang w:eastAsia="zh-CN"/>
              </w:rPr>
              <w:t>90°</w:t>
            </w:r>
          </w:p>
        </w:tc>
        <w:tc>
          <w:tcPr>
            <w:tcW w:w="235" w:type="pct"/>
            <w:tcBorders>
              <w:top w:val="single" w:sz="4" w:space="0" w:color="auto"/>
              <w:bottom w:val="single" w:sz="4" w:space="0" w:color="auto"/>
            </w:tcBorders>
            <w:vAlign w:val="center"/>
          </w:tcPr>
          <w:p w14:paraId="5BFEF54D" w14:textId="77777777" w:rsidR="009907BA" w:rsidRPr="00803DAB" w:rsidRDefault="009907BA" w:rsidP="00F87A29">
            <w:pPr>
              <w:pStyle w:val="17-tablecontent"/>
              <w:rPr>
                <w:color w:val="auto"/>
                <w:lang w:eastAsia="zh-CN"/>
              </w:rPr>
            </w:pPr>
            <w:r w:rsidRPr="00803DAB">
              <w:rPr>
                <w:color w:val="auto"/>
                <w:lang w:eastAsia="zh-CN"/>
              </w:rPr>
              <w:t>0°</w:t>
            </w:r>
          </w:p>
        </w:tc>
        <w:tc>
          <w:tcPr>
            <w:tcW w:w="235" w:type="pct"/>
            <w:tcBorders>
              <w:top w:val="single" w:sz="4" w:space="0" w:color="auto"/>
              <w:bottom w:val="single" w:sz="4" w:space="0" w:color="auto"/>
            </w:tcBorders>
            <w:vAlign w:val="center"/>
          </w:tcPr>
          <w:p w14:paraId="5F15633D" w14:textId="77777777" w:rsidR="009907BA" w:rsidRPr="00803DAB" w:rsidRDefault="009907BA" w:rsidP="00F87A29">
            <w:pPr>
              <w:pStyle w:val="17-tablecontent"/>
              <w:rPr>
                <w:color w:val="auto"/>
                <w:lang w:eastAsia="zh-CN"/>
              </w:rPr>
            </w:pPr>
            <w:r w:rsidRPr="00803DAB">
              <w:rPr>
                <w:color w:val="auto"/>
                <w:lang w:eastAsia="zh-CN"/>
              </w:rPr>
              <w:t>15°</w:t>
            </w:r>
          </w:p>
        </w:tc>
        <w:tc>
          <w:tcPr>
            <w:tcW w:w="235" w:type="pct"/>
            <w:tcBorders>
              <w:top w:val="single" w:sz="4" w:space="0" w:color="auto"/>
              <w:bottom w:val="single" w:sz="4" w:space="0" w:color="auto"/>
            </w:tcBorders>
            <w:vAlign w:val="center"/>
          </w:tcPr>
          <w:p w14:paraId="528CF3F3" w14:textId="77777777" w:rsidR="009907BA" w:rsidRPr="00803DAB" w:rsidRDefault="009907BA" w:rsidP="00F87A29">
            <w:pPr>
              <w:pStyle w:val="17-tablecontent"/>
              <w:rPr>
                <w:color w:val="auto"/>
                <w:lang w:eastAsia="zh-CN"/>
              </w:rPr>
            </w:pPr>
            <w:r w:rsidRPr="00803DAB">
              <w:rPr>
                <w:color w:val="auto"/>
                <w:lang w:eastAsia="zh-CN"/>
              </w:rPr>
              <w:t>30°</w:t>
            </w:r>
          </w:p>
        </w:tc>
        <w:tc>
          <w:tcPr>
            <w:tcW w:w="235" w:type="pct"/>
            <w:tcBorders>
              <w:top w:val="single" w:sz="4" w:space="0" w:color="auto"/>
              <w:bottom w:val="single" w:sz="4" w:space="0" w:color="auto"/>
            </w:tcBorders>
            <w:vAlign w:val="center"/>
          </w:tcPr>
          <w:p w14:paraId="0477947D" w14:textId="77777777" w:rsidR="009907BA" w:rsidRPr="00803DAB" w:rsidRDefault="009907BA" w:rsidP="00F87A29">
            <w:pPr>
              <w:pStyle w:val="17-tablecontent"/>
              <w:rPr>
                <w:color w:val="auto"/>
                <w:lang w:eastAsia="zh-CN"/>
              </w:rPr>
            </w:pPr>
            <w:r w:rsidRPr="00803DAB">
              <w:rPr>
                <w:color w:val="auto"/>
                <w:lang w:eastAsia="zh-CN"/>
              </w:rPr>
              <w:t>45°</w:t>
            </w:r>
          </w:p>
        </w:tc>
        <w:tc>
          <w:tcPr>
            <w:tcW w:w="235" w:type="pct"/>
            <w:tcBorders>
              <w:top w:val="single" w:sz="4" w:space="0" w:color="auto"/>
              <w:bottom w:val="single" w:sz="4" w:space="0" w:color="auto"/>
            </w:tcBorders>
            <w:vAlign w:val="center"/>
          </w:tcPr>
          <w:p w14:paraId="7A881F67" w14:textId="77777777" w:rsidR="009907BA" w:rsidRPr="00803DAB" w:rsidRDefault="009907BA" w:rsidP="00F87A29">
            <w:pPr>
              <w:pStyle w:val="17-tablecontent"/>
              <w:rPr>
                <w:color w:val="auto"/>
                <w:lang w:eastAsia="zh-CN"/>
              </w:rPr>
            </w:pPr>
            <w:r w:rsidRPr="00803DAB">
              <w:rPr>
                <w:color w:val="auto"/>
                <w:lang w:eastAsia="zh-CN"/>
              </w:rPr>
              <w:t>60°</w:t>
            </w:r>
          </w:p>
        </w:tc>
        <w:tc>
          <w:tcPr>
            <w:tcW w:w="235" w:type="pct"/>
            <w:tcBorders>
              <w:top w:val="single" w:sz="4" w:space="0" w:color="auto"/>
              <w:bottom w:val="single" w:sz="4" w:space="0" w:color="auto"/>
            </w:tcBorders>
            <w:vAlign w:val="center"/>
          </w:tcPr>
          <w:p w14:paraId="5329A1C3" w14:textId="77777777" w:rsidR="009907BA" w:rsidRPr="00803DAB" w:rsidRDefault="009907BA" w:rsidP="00F87A29">
            <w:pPr>
              <w:pStyle w:val="17-tablecontent"/>
              <w:rPr>
                <w:color w:val="auto"/>
                <w:lang w:eastAsia="zh-CN"/>
              </w:rPr>
            </w:pPr>
            <w:r w:rsidRPr="00803DAB">
              <w:rPr>
                <w:color w:val="auto"/>
                <w:lang w:eastAsia="zh-CN"/>
              </w:rPr>
              <w:t>75°</w:t>
            </w:r>
          </w:p>
        </w:tc>
        <w:tc>
          <w:tcPr>
            <w:tcW w:w="235" w:type="pct"/>
            <w:tcBorders>
              <w:top w:val="single" w:sz="4" w:space="0" w:color="auto"/>
              <w:bottom w:val="single" w:sz="4" w:space="0" w:color="auto"/>
            </w:tcBorders>
            <w:vAlign w:val="center"/>
          </w:tcPr>
          <w:p w14:paraId="7F2F8CAE" w14:textId="77777777" w:rsidR="009907BA" w:rsidRPr="00803DAB" w:rsidRDefault="009907BA" w:rsidP="00F87A29">
            <w:pPr>
              <w:pStyle w:val="17-tablecontent"/>
              <w:rPr>
                <w:color w:val="auto"/>
                <w:lang w:eastAsia="zh-CN"/>
              </w:rPr>
            </w:pPr>
            <w:r w:rsidRPr="00803DAB">
              <w:rPr>
                <w:color w:val="auto"/>
                <w:lang w:eastAsia="zh-CN"/>
              </w:rPr>
              <w:t>90°</w:t>
            </w:r>
          </w:p>
        </w:tc>
        <w:tc>
          <w:tcPr>
            <w:tcW w:w="723" w:type="pct"/>
            <w:vMerge/>
            <w:tcBorders>
              <w:top w:val="nil"/>
              <w:bottom w:val="single" w:sz="4" w:space="0" w:color="auto"/>
            </w:tcBorders>
            <w:vAlign w:val="center"/>
          </w:tcPr>
          <w:p w14:paraId="5E34DD0E" w14:textId="77777777" w:rsidR="009907BA" w:rsidRPr="00803DAB" w:rsidRDefault="009907BA" w:rsidP="00F87A29">
            <w:pPr>
              <w:pStyle w:val="17-tablecontent"/>
              <w:rPr>
                <w:color w:val="auto"/>
                <w:lang w:eastAsia="zh-CN"/>
              </w:rPr>
            </w:pPr>
          </w:p>
        </w:tc>
      </w:tr>
      <w:tr w:rsidR="009907BA" w:rsidRPr="00803DAB" w14:paraId="696A2D69" w14:textId="77777777" w:rsidTr="00F87A29">
        <w:tc>
          <w:tcPr>
            <w:tcW w:w="407" w:type="pct"/>
            <w:tcBorders>
              <w:top w:val="single" w:sz="4" w:space="0" w:color="auto"/>
            </w:tcBorders>
            <w:vAlign w:val="center"/>
          </w:tcPr>
          <w:p w14:paraId="0ADE31A2" w14:textId="77777777" w:rsidR="009907BA" w:rsidRPr="00803DAB" w:rsidRDefault="009907BA" w:rsidP="00F87A29">
            <w:pPr>
              <w:pStyle w:val="17-tablecontent"/>
              <w:rPr>
                <w:color w:val="auto"/>
                <w:lang w:eastAsia="zh-CN"/>
              </w:rPr>
            </w:pPr>
            <w:r w:rsidRPr="00803DAB">
              <w:rPr>
                <w:color w:val="auto"/>
                <w:lang w:eastAsia="zh-CN"/>
              </w:rPr>
              <w:t>Sandstone</w:t>
            </w:r>
          </w:p>
        </w:tc>
        <w:tc>
          <w:tcPr>
            <w:tcW w:w="320" w:type="pct"/>
            <w:tcBorders>
              <w:top w:val="single" w:sz="4" w:space="0" w:color="auto"/>
            </w:tcBorders>
            <w:vAlign w:val="center"/>
          </w:tcPr>
          <w:p w14:paraId="0922CAC7" w14:textId="77777777" w:rsidR="009907BA" w:rsidRPr="00803DAB" w:rsidRDefault="009907BA" w:rsidP="00F87A29">
            <w:pPr>
              <w:pStyle w:val="17-tablecontent"/>
              <w:rPr>
                <w:color w:val="auto"/>
                <w:lang w:eastAsia="zh-CN"/>
              </w:rPr>
            </w:pPr>
            <w:r w:rsidRPr="00803DAB">
              <w:rPr>
                <w:color w:val="auto"/>
                <w:lang w:eastAsia="zh-CN"/>
              </w:rPr>
              <w:t>35.95</w:t>
            </w:r>
          </w:p>
        </w:tc>
        <w:tc>
          <w:tcPr>
            <w:tcW w:w="272" w:type="pct"/>
            <w:tcBorders>
              <w:top w:val="single" w:sz="4" w:space="0" w:color="auto"/>
            </w:tcBorders>
            <w:vAlign w:val="center"/>
          </w:tcPr>
          <w:p w14:paraId="16C9ED3E" w14:textId="77777777" w:rsidR="009907BA" w:rsidRPr="00803DAB" w:rsidRDefault="009907BA" w:rsidP="00F87A29">
            <w:pPr>
              <w:pStyle w:val="17-tablecontent"/>
              <w:rPr>
                <w:color w:val="auto"/>
                <w:lang w:eastAsia="zh-CN"/>
              </w:rPr>
            </w:pPr>
          </w:p>
        </w:tc>
        <w:tc>
          <w:tcPr>
            <w:tcW w:w="272" w:type="pct"/>
            <w:tcBorders>
              <w:top w:val="single" w:sz="4" w:space="0" w:color="auto"/>
            </w:tcBorders>
            <w:vAlign w:val="center"/>
          </w:tcPr>
          <w:p w14:paraId="5B9F18CC" w14:textId="77777777" w:rsidR="009907BA" w:rsidRPr="00803DAB" w:rsidRDefault="009907BA" w:rsidP="00F87A29">
            <w:pPr>
              <w:pStyle w:val="17-tablecontent"/>
              <w:rPr>
                <w:color w:val="auto"/>
                <w:lang w:eastAsia="zh-CN"/>
              </w:rPr>
            </w:pPr>
            <w:r w:rsidRPr="00803DAB">
              <w:rPr>
                <w:color w:val="auto"/>
                <w:lang w:eastAsia="zh-CN"/>
              </w:rPr>
              <w:t>32.86</w:t>
            </w:r>
          </w:p>
        </w:tc>
        <w:tc>
          <w:tcPr>
            <w:tcW w:w="272" w:type="pct"/>
            <w:tcBorders>
              <w:top w:val="single" w:sz="4" w:space="0" w:color="auto"/>
            </w:tcBorders>
            <w:vAlign w:val="center"/>
          </w:tcPr>
          <w:p w14:paraId="01872992" w14:textId="77777777" w:rsidR="009907BA" w:rsidRPr="00803DAB" w:rsidRDefault="009907BA" w:rsidP="00F87A29">
            <w:pPr>
              <w:pStyle w:val="17-tablecontent"/>
              <w:rPr>
                <w:color w:val="auto"/>
                <w:lang w:eastAsia="zh-CN"/>
              </w:rPr>
            </w:pPr>
          </w:p>
        </w:tc>
        <w:tc>
          <w:tcPr>
            <w:tcW w:w="272" w:type="pct"/>
            <w:tcBorders>
              <w:top w:val="single" w:sz="4" w:space="0" w:color="auto"/>
            </w:tcBorders>
            <w:vAlign w:val="center"/>
          </w:tcPr>
          <w:p w14:paraId="39528940" w14:textId="77777777" w:rsidR="009907BA" w:rsidRPr="00803DAB" w:rsidRDefault="009907BA" w:rsidP="00F87A29">
            <w:pPr>
              <w:pStyle w:val="17-tablecontent"/>
              <w:rPr>
                <w:color w:val="auto"/>
                <w:lang w:eastAsia="zh-CN"/>
              </w:rPr>
            </w:pPr>
            <w:r w:rsidRPr="00803DAB">
              <w:rPr>
                <w:color w:val="auto"/>
                <w:lang w:eastAsia="zh-CN"/>
              </w:rPr>
              <w:t>28.11</w:t>
            </w:r>
          </w:p>
        </w:tc>
        <w:tc>
          <w:tcPr>
            <w:tcW w:w="272" w:type="pct"/>
            <w:tcBorders>
              <w:top w:val="single" w:sz="4" w:space="0" w:color="auto"/>
            </w:tcBorders>
            <w:vAlign w:val="center"/>
          </w:tcPr>
          <w:p w14:paraId="2E683378" w14:textId="77777777" w:rsidR="009907BA" w:rsidRPr="00803DAB" w:rsidRDefault="009907BA" w:rsidP="00F87A29">
            <w:pPr>
              <w:pStyle w:val="17-tablecontent"/>
              <w:rPr>
                <w:color w:val="auto"/>
                <w:lang w:eastAsia="zh-CN"/>
              </w:rPr>
            </w:pPr>
            <w:r w:rsidRPr="00803DAB">
              <w:rPr>
                <w:color w:val="auto"/>
                <w:lang w:eastAsia="zh-CN"/>
              </w:rPr>
              <w:t>32.25</w:t>
            </w:r>
          </w:p>
        </w:tc>
        <w:tc>
          <w:tcPr>
            <w:tcW w:w="272" w:type="pct"/>
            <w:tcBorders>
              <w:top w:val="single" w:sz="4" w:space="0" w:color="auto"/>
            </w:tcBorders>
            <w:vAlign w:val="center"/>
          </w:tcPr>
          <w:p w14:paraId="6E8B5204" w14:textId="77777777" w:rsidR="009907BA" w:rsidRPr="00803DAB" w:rsidRDefault="009907BA" w:rsidP="00F87A29">
            <w:pPr>
              <w:pStyle w:val="17-tablecontent"/>
              <w:rPr>
                <w:color w:val="auto"/>
                <w:lang w:eastAsia="zh-CN"/>
              </w:rPr>
            </w:pPr>
            <w:r w:rsidRPr="00803DAB">
              <w:rPr>
                <w:color w:val="auto"/>
                <w:lang w:eastAsia="zh-CN"/>
              </w:rPr>
              <w:t>33.97</w:t>
            </w:r>
          </w:p>
        </w:tc>
        <w:tc>
          <w:tcPr>
            <w:tcW w:w="272" w:type="pct"/>
            <w:tcBorders>
              <w:top w:val="single" w:sz="4" w:space="0" w:color="auto"/>
            </w:tcBorders>
            <w:vAlign w:val="center"/>
          </w:tcPr>
          <w:p w14:paraId="71D651F8" w14:textId="77777777" w:rsidR="009907BA" w:rsidRPr="00803DAB" w:rsidRDefault="009907BA" w:rsidP="00F87A29">
            <w:pPr>
              <w:pStyle w:val="17-tablecontent"/>
              <w:rPr>
                <w:color w:val="auto"/>
                <w:lang w:eastAsia="zh-CN"/>
              </w:rPr>
            </w:pPr>
          </w:p>
        </w:tc>
        <w:tc>
          <w:tcPr>
            <w:tcW w:w="235" w:type="pct"/>
            <w:tcBorders>
              <w:top w:val="single" w:sz="4" w:space="0" w:color="auto"/>
            </w:tcBorders>
            <w:vAlign w:val="center"/>
          </w:tcPr>
          <w:p w14:paraId="4613944D" w14:textId="77777777" w:rsidR="009907BA" w:rsidRPr="00803DAB" w:rsidRDefault="009907BA" w:rsidP="00F87A29">
            <w:pPr>
              <w:pStyle w:val="17-tablecontent"/>
              <w:rPr>
                <w:color w:val="auto"/>
                <w:lang w:eastAsia="zh-CN"/>
              </w:rPr>
            </w:pPr>
          </w:p>
        </w:tc>
        <w:tc>
          <w:tcPr>
            <w:tcW w:w="235" w:type="pct"/>
            <w:tcBorders>
              <w:top w:val="nil"/>
              <w:left w:val="nil"/>
              <w:bottom w:val="nil"/>
              <w:right w:val="nil"/>
            </w:tcBorders>
            <w:shd w:val="clear" w:color="auto" w:fill="auto"/>
            <w:vAlign w:val="center"/>
          </w:tcPr>
          <w:p w14:paraId="782D1587" w14:textId="77777777" w:rsidR="009907BA" w:rsidRPr="00803DAB" w:rsidRDefault="009907BA" w:rsidP="00F87A29">
            <w:pPr>
              <w:pStyle w:val="17-tablecontent"/>
              <w:rPr>
                <w:color w:val="auto"/>
                <w:lang w:eastAsia="zh-CN"/>
              </w:rPr>
            </w:pPr>
            <w:r w:rsidRPr="00803DAB">
              <w:rPr>
                <w:color w:val="auto"/>
                <w:lang w:eastAsia="zh-CN"/>
              </w:rPr>
              <w:t xml:space="preserve">0.91 </w:t>
            </w:r>
          </w:p>
        </w:tc>
        <w:tc>
          <w:tcPr>
            <w:tcW w:w="235" w:type="pct"/>
            <w:tcBorders>
              <w:top w:val="nil"/>
              <w:left w:val="nil"/>
              <w:bottom w:val="nil"/>
              <w:right w:val="nil"/>
            </w:tcBorders>
            <w:shd w:val="clear" w:color="auto" w:fill="auto"/>
            <w:vAlign w:val="center"/>
          </w:tcPr>
          <w:p w14:paraId="749FC7C9" w14:textId="77777777" w:rsidR="009907BA" w:rsidRPr="00803DAB" w:rsidRDefault="009907BA" w:rsidP="00F87A29">
            <w:pPr>
              <w:pStyle w:val="17-tablecontent"/>
              <w:rPr>
                <w:color w:val="auto"/>
                <w:lang w:eastAsia="zh-CN"/>
              </w:rPr>
            </w:pPr>
          </w:p>
        </w:tc>
        <w:tc>
          <w:tcPr>
            <w:tcW w:w="235" w:type="pct"/>
            <w:tcBorders>
              <w:top w:val="nil"/>
              <w:left w:val="nil"/>
              <w:bottom w:val="nil"/>
              <w:right w:val="nil"/>
            </w:tcBorders>
            <w:shd w:val="clear" w:color="auto" w:fill="auto"/>
            <w:vAlign w:val="center"/>
          </w:tcPr>
          <w:p w14:paraId="30C07204" w14:textId="77777777" w:rsidR="009907BA" w:rsidRPr="00803DAB" w:rsidRDefault="009907BA" w:rsidP="00F87A29">
            <w:pPr>
              <w:pStyle w:val="17-tablecontent"/>
              <w:rPr>
                <w:color w:val="auto"/>
                <w:lang w:eastAsia="zh-CN"/>
              </w:rPr>
            </w:pPr>
            <w:r w:rsidRPr="00803DAB">
              <w:rPr>
                <w:color w:val="auto"/>
                <w:lang w:eastAsia="zh-CN"/>
              </w:rPr>
              <w:t xml:space="preserve">0.78 </w:t>
            </w:r>
          </w:p>
        </w:tc>
        <w:tc>
          <w:tcPr>
            <w:tcW w:w="235" w:type="pct"/>
            <w:tcBorders>
              <w:top w:val="nil"/>
              <w:left w:val="nil"/>
              <w:bottom w:val="nil"/>
              <w:right w:val="nil"/>
            </w:tcBorders>
            <w:shd w:val="clear" w:color="auto" w:fill="auto"/>
            <w:vAlign w:val="center"/>
          </w:tcPr>
          <w:p w14:paraId="61E2D101" w14:textId="77777777" w:rsidR="009907BA" w:rsidRPr="00803DAB" w:rsidRDefault="009907BA" w:rsidP="00F87A29">
            <w:pPr>
              <w:pStyle w:val="17-tablecontent"/>
              <w:rPr>
                <w:color w:val="auto"/>
                <w:lang w:eastAsia="zh-CN"/>
              </w:rPr>
            </w:pPr>
            <w:r w:rsidRPr="00803DAB">
              <w:rPr>
                <w:color w:val="auto"/>
                <w:lang w:eastAsia="zh-CN"/>
              </w:rPr>
              <w:t>0.9</w:t>
            </w:r>
          </w:p>
        </w:tc>
        <w:tc>
          <w:tcPr>
            <w:tcW w:w="235" w:type="pct"/>
            <w:tcBorders>
              <w:top w:val="nil"/>
              <w:left w:val="nil"/>
              <w:bottom w:val="nil"/>
              <w:right w:val="nil"/>
            </w:tcBorders>
            <w:shd w:val="clear" w:color="auto" w:fill="auto"/>
            <w:vAlign w:val="center"/>
          </w:tcPr>
          <w:p w14:paraId="5578ED20" w14:textId="77777777" w:rsidR="009907BA" w:rsidRPr="00803DAB" w:rsidRDefault="009907BA" w:rsidP="00F87A29">
            <w:pPr>
              <w:pStyle w:val="17-tablecontent"/>
              <w:rPr>
                <w:color w:val="auto"/>
                <w:lang w:eastAsia="zh-CN"/>
              </w:rPr>
            </w:pPr>
            <w:r w:rsidRPr="00803DAB">
              <w:rPr>
                <w:color w:val="auto"/>
                <w:lang w:eastAsia="zh-CN"/>
              </w:rPr>
              <w:t xml:space="preserve">0.94 </w:t>
            </w:r>
          </w:p>
        </w:tc>
        <w:tc>
          <w:tcPr>
            <w:tcW w:w="235" w:type="pct"/>
            <w:tcBorders>
              <w:top w:val="single" w:sz="4" w:space="0" w:color="auto"/>
            </w:tcBorders>
            <w:vAlign w:val="center"/>
          </w:tcPr>
          <w:p w14:paraId="1B2DD5B2" w14:textId="77777777" w:rsidR="009907BA" w:rsidRPr="00803DAB" w:rsidRDefault="009907BA" w:rsidP="00F87A29">
            <w:pPr>
              <w:pStyle w:val="17-tablecontent"/>
              <w:rPr>
                <w:color w:val="auto"/>
                <w:lang w:eastAsia="zh-CN"/>
              </w:rPr>
            </w:pPr>
          </w:p>
        </w:tc>
        <w:tc>
          <w:tcPr>
            <w:tcW w:w="723" w:type="pct"/>
            <w:tcBorders>
              <w:top w:val="single" w:sz="4" w:space="0" w:color="auto"/>
            </w:tcBorders>
            <w:vAlign w:val="center"/>
          </w:tcPr>
          <w:p w14:paraId="486BC4D0" w14:textId="24EC087C"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{"citationItems":[{"id":"ITEM-1","itemData":{"DOI":"10.1007/s10704-010-9576-4","ISSN":"03769429","abstract":"Uniaxial compression experiments were performed for brittle sandstone samples containing a single fissure by a rock mechanics servo-controlled testing system. Based on the experimental results of axial stress-axial strain curves, the influence of single fissure geometry on the strength and deformation behavior of sandstone samples is analyzed in detail. Compared with the intact sandstone sample, the sandstone samples containing a single fissure show the localization deformation failure. The uniaxial compressive strength, Young's modulus and peak axial strain of sandstone samples with pre-existing single fissure are all lower than that of intact sandstone sample, which is closely related to the fissure length and fissure angle. The crack coalescence was observed and characterized from tips of pre-existing single fissure in brittle sandstone sample. Nine different crack types are identified based on their geometry and crack propagation mechanism (tensile, shear, lateral crack, far-field crack and surface spalling) for single fissure, which can be used to analyze the failure mode and cracking process of sandstone sample containing a single fissure under uniaxial compression. To confirm the subsequence of crack coalescence in sandstone sample, the photographic monitoring and acoustic emission (AE) technique were adopted for uniaxial compression test. The real-time crack coalescence process of sandstone containing a single fissure was recorded during the whole loading. In the end, the influence of the crack coalescence on the strength and deformation failure behavior of brittle sandstone sample containing a single fissure is analyzed under uniaxial compression. The present research is helpful to understand the failure behavior and fracture mechanism of engineering rock mass (such as slope instability and underground rock burst). © 2010 Springer Science+Business Media B.V.","author":[{"dropping-particle":"","family":"Yang","given":"Sheng Qi","non-dropping-particle":"","parse-names":false,"suffix":""},{"dropping-particle":"","family":"Jing","given":"Hong Wen","non-dropping-particle":"","parse-names":false,"suffix":""}],"container-title":"International Journal of Fracture","id":"ITEM-1","issue":"2","issued":{"date-parts":[["2011"]]},"page":"227-250","title":"Strength failure and crack coalescence behavior of brittle sandstone samples containing a single fissure under uniaxial compression","type":"article-journal","volume":"168"},"uris":["http://www.mendeley.com/documents/?uuid=75a2aacb-8b0a-488c-b6f4-866467c16c15"]}],"mendeley":{"formattedCitation":"(Yang and Jing, 2011)","manualFormatting":"Yang and Jing (2011","plainTextFormattedCitation":"(Yang and Jing, 2011)","previouslyFormattedCitation":"(Yang and Jing 2011)"},"properties":{"noteIndex":0},"schema":"https://github.com/citation-style-language/schema/raw/master/csl-citation.json"}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and Jing (2011</w:t>
            </w:r>
            <w:r w:rsidRPr="00803DAB">
              <w:rPr>
                <w:color w:val="auto"/>
                <w:lang w:eastAsia="zh-CN"/>
              </w:rPr>
              <w:fldChar w:fldCharType="end"/>
            </w:r>
            <w:r w:rsidRPr="00803DAB">
              <w:rPr>
                <w:color w:val="auto"/>
                <w:lang w:eastAsia="zh-CN"/>
              </w:rPr>
              <w:t>)</w:t>
            </w:r>
          </w:p>
        </w:tc>
      </w:tr>
      <w:tr w:rsidR="009907BA" w:rsidRPr="00803DAB" w14:paraId="41E28FC2" w14:textId="77777777" w:rsidTr="00F87A29">
        <w:tc>
          <w:tcPr>
            <w:tcW w:w="407" w:type="pct"/>
            <w:vAlign w:val="center"/>
          </w:tcPr>
          <w:p w14:paraId="295D0AC9" w14:textId="77777777" w:rsidR="009907BA" w:rsidRPr="00803DAB" w:rsidRDefault="009907BA" w:rsidP="00F87A29">
            <w:pPr>
              <w:pStyle w:val="17-tablecontent"/>
              <w:rPr>
                <w:color w:val="auto"/>
                <w:lang w:eastAsia="zh-CN"/>
              </w:rPr>
            </w:pPr>
            <w:r w:rsidRPr="00803DAB">
              <w:rPr>
                <w:color w:val="auto"/>
                <w:lang w:eastAsia="zh-CN"/>
              </w:rPr>
              <w:t xml:space="preserve">Sandstone </w:t>
            </w:r>
          </w:p>
        </w:tc>
        <w:tc>
          <w:tcPr>
            <w:tcW w:w="320" w:type="pct"/>
            <w:vAlign w:val="center"/>
          </w:tcPr>
          <w:p w14:paraId="71737B3C" w14:textId="77777777" w:rsidR="009907BA" w:rsidRPr="00803DAB" w:rsidRDefault="009907BA" w:rsidP="00F87A29">
            <w:pPr>
              <w:pStyle w:val="17-tablecontent"/>
              <w:rPr>
                <w:color w:val="auto"/>
                <w:lang w:eastAsia="zh-CN"/>
              </w:rPr>
            </w:pPr>
            <w:r w:rsidRPr="00803DAB">
              <w:rPr>
                <w:color w:val="auto"/>
                <w:lang w:eastAsia="zh-CN"/>
              </w:rPr>
              <w:t>~13.47</w:t>
            </w:r>
          </w:p>
        </w:tc>
        <w:tc>
          <w:tcPr>
            <w:tcW w:w="272" w:type="pct"/>
            <w:shd w:val="clear" w:color="auto" w:fill="auto"/>
            <w:vAlign w:val="center"/>
          </w:tcPr>
          <w:p w14:paraId="764BB22B" w14:textId="77777777" w:rsidR="009907BA" w:rsidRPr="00803DAB" w:rsidRDefault="009907BA" w:rsidP="00F87A29">
            <w:pPr>
              <w:pStyle w:val="17-tablecontent"/>
              <w:rPr>
                <w:color w:val="auto"/>
                <w:lang w:eastAsia="zh-CN"/>
              </w:rPr>
            </w:pPr>
          </w:p>
        </w:tc>
        <w:tc>
          <w:tcPr>
            <w:tcW w:w="272" w:type="pct"/>
            <w:tcBorders>
              <w:top w:val="nil"/>
              <w:left w:val="nil"/>
              <w:bottom w:val="nil"/>
              <w:right w:val="nil"/>
            </w:tcBorders>
            <w:shd w:val="clear" w:color="auto" w:fill="auto"/>
            <w:vAlign w:val="center"/>
          </w:tcPr>
          <w:p w14:paraId="50FF01BF" w14:textId="77777777" w:rsidR="009907BA" w:rsidRPr="00803DAB" w:rsidRDefault="009907BA" w:rsidP="00F87A29">
            <w:pPr>
              <w:pStyle w:val="17-tablecontent"/>
              <w:rPr>
                <w:color w:val="auto"/>
                <w:lang w:eastAsia="zh-CN"/>
              </w:rPr>
            </w:pPr>
            <w:r w:rsidRPr="00803DAB">
              <w:rPr>
                <w:color w:val="auto"/>
                <w:lang w:eastAsia="zh-CN"/>
              </w:rPr>
              <w:t xml:space="preserve">8.77 </w:t>
            </w:r>
          </w:p>
        </w:tc>
        <w:tc>
          <w:tcPr>
            <w:tcW w:w="272" w:type="pct"/>
            <w:tcBorders>
              <w:top w:val="nil"/>
              <w:left w:val="nil"/>
              <w:bottom w:val="nil"/>
              <w:right w:val="nil"/>
            </w:tcBorders>
            <w:shd w:val="clear" w:color="auto" w:fill="auto"/>
            <w:vAlign w:val="center"/>
          </w:tcPr>
          <w:p w14:paraId="61F2EC67" w14:textId="77777777" w:rsidR="009907BA" w:rsidRPr="00803DAB" w:rsidRDefault="009907BA" w:rsidP="00F87A29">
            <w:pPr>
              <w:pStyle w:val="17-tablecontent"/>
              <w:rPr>
                <w:color w:val="auto"/>
                <w:lang w:eastAsia="zh-CN"/>
              </w:rPr>
            </w:pPr>
            <w:r w:rsidRPr="00803DAB">
              <w:rPr>
                <w:color w:val="auto"/>
                <w:lang w:eastAsia="zh-CN"/>
              </w:rPr>
              <w:t xml:space="preserve">9.07 </w:t>
            </w:r>
          </w:p>
        </w:tc>
        <w:tc>
          <w:tcPr>
            <w:tcW w:w="272" w:type="pct"/>
            <w:tcBorders>
              <w:top w:val="nil"/>
              <w:left w:val="nil"/>
              <w:bottom w:val="nil"/>
              <w:right w:val="nil"/>
            </w:tcBorders>
            <w:shd w:val="clear" w:color="auto" w:fill="auto"/>
            <w:vAlign w:val="center"/>
          </w:tcPr>
          <w:p w14:paraId="3F641A76" w14:textId="77777777" w:rsidR="009907BA" w:rsidRPr="00803DAB" w:rsidRDefault="009907BA" w:rsidP="00F87A29">
            <w:pPr>
              <w:pStyle w:val="17-tablecontent"/>
              <w:rPr>
                <w:color w:val="auto"/>
                <w:lang w:eastAsia="zh-CN"/>
              </w:rPr>
            </w:pPr>
            <w:r w:rsidRPr="00803DAB">
              <w:rPr>
                <w:color w:val="auto"/>
                <w:lang w:eastAsia="zh-CN"/>
              </w:rPr>
              <w:t xml:space="preserve">10.39 </w:t>
            </w:r>
          </w:p>
        </w:tc>
        <w:tc>
          <w:tcPr>
            <w:tcW w:w="272" w:type="pct"/>
            <w:tcBorders>
              <w:top w:val="nil"/>
              <w:left w:val="nil"/>
              <w:bottom w:val="nil"/>
              <w:right w:val="nil"/>
            </w:tcBorders>
            <w:shd w:val="clear" w:color="auto" w:fill="auto"/>
            <w:vAlign w:val="center"/>
          </w:tcPr>
          <w:p w14:paraId="7E58020C" w14:textId="77777777" w:rsidR="009907BA" w:rsidRPr="00803DAB" w:rsidRDefault="009907BA" w:rsidP="00F87A29">
            <w:pPr>
              <w:pStyle w:val="17-tablecontent"/>
              <w:rPr>
                <w:color w:val="auto"/>
                <w:lang w:eastAsia="zh-CN"/>
              </w:rPr>
            </w:pPr>
            <w:r w:rsidRPr="00803DAB">
              <w:rPr>
                <w:color w:val="auto"/>
                <w:lang w:eastAsia="zh-CN"/>
              </w:rPr>
              <w:t xml:space="preserve">11.11 </w:t>
            </w:r>
          </w:p>
        </w:tc>
        <w:tc>
          <w:tcPr>
            <w:tcW w:w="272" w:type="pct"/>
            <w:tcBorders>
              <w:top w:val="nil"/>
              <w:left w:val="nil"/>
              <w:bottom w:val="nil"/>
              <w:right w:val="nil"/>
            </w:tcBorders>
            <w:shd w:val="clear" w:color="auto" w:fill="auto"/>
            <w:vAlign w:val="center"/>
          </w:tcPr>
          <w:p w14:paraId="115376C1" w14:textId="77777777" w:rsidR="009907BA" w:rsidRPr="00803DAB" w:rsidRDefault="009907BA" w:rsidP="00F87A29">
            <w:pPr>
              <w:pStyle w:val="17-tablecontent"/>
              <w:rPr>
                <w:color w:val="auto"/>
                <w:lang w:eastAsia="zh-CN"/>
              </w:rPr>
            </w:pPr>
            <w:r w:rsidRPr="00803DAB">
              <w:rPr>
                <w:color w:val="auto"/>
                <w:lang w:eastAsia="zh-CN"/>
              </w:rPr>
              <w:t xml:space="preserve">12.16 </w:t>
            </w:r>
          </w:p>
        </w:tc>
        <w:tc>
          <w:tcPr>
            <w:tcW w:w="272" w:type="pct"/>
            <w:shd w:val="clear" w:color="auto" w:fill="auto"/>
            <w:vAlign w:val="center"/>
          </w:tcPr>
          <w:p w14:paraId="49FF8F46" w14:textId="77777777" w:rsidR="009907BA" w:rsidRPr="00803DAB" w:rsidRDefault="009907BA" w:rsidP="00F87A29">
            <w:pPr>
              <w:pStyle w:val="17-tablecontent"/>
              <w:rPr>
                <w:color w:val="auto"/>
                <w:lang w:eastAsia="zh-CN"/>
              </w:rPr>
            </w:pPr>
          </w:p>
        </w:tc>
        <w:tc>
          <w:tcPr>
            <w:tcW w:w="235" w:type="pct"/>
            <w:shd w:val="clear" w:color="auto" w:fill="auto"/>
            <w:vAlign w:val="center"/>
          </w:tcPr>
          <w:p w14:paraId="6C283D01" w14:textId="77777777" w:rsidR="009907BA" w:rsidRPr="00803DAB" w:rsidRDefault="009907BA" w:rsidP="00F87A29">
            <w:pPr>
              <w:pStyle w:val="17-tablecontent"/>
              <w:rPr>
                <w:color w:val="auto"/>
                <w:lang w:eastAsia="zh-CN"/>
              </w:rPr>
            </w:pPr>
          </w:p>
        </w:tc>
        <w:tc>
          <w:tcPr>
            <w:tcW w:w="235" w:type="pct"/>
            <w:tcBorders>
              <w:top w:val="nil"/>
              <w:left w:val="nil"/>
              <w:bottom w:val="nil"/>
              <w:right w:val="nil"/>
            </w:tcBorders>
            <w:shd w:val="clear" w:color="auto" w:fill="auto"/>
            <w:vAlign w:val="center"/>
          </w:tcPr>
          <w:p w14:paraId="5EB941A1" w14:textId="77777777" w:rsidR="009907BA" w:rsidRPr="00803DAB" w:rsidRDefault="009907BA" w:rsidP="00F87A29">
            <w:pPr>
              <w:pStyle w:val="17-tablecontent"/>
              <w:rPr>
                <w:color w:val="auto"/>
                <w:lang w:eastAsia="zh-CN"/>
              </w:rPr>
            </w:pPr>
            <w:r w:rsidRPr="00803DAB">
              <w:rPr>
                <w:color w:val="auto"/>
                <w:lang w:eastAsia="zh-CN"/>
              </w:rPr>
              <w:t xml:space="preserve">0.65 </w:t>
            </w:r>
          </w:p>
        </w:tc>
        <w:tc>
          <w:tcPr>
            <w:tcW w:w="235" w:type="pct"/>
            <w:tcBorders>
              <w:top w:val="nil"/>
              <w:left w:val="nil"/>
              <w:bottom w:val="nil"/>
              <w:right w:val="nil"/>
            </w:tcBorders>
            <w:shd w:val="clear" w:color="auto" w:fill="auto"/>
            <w:vAlign w:val="center"/>
          </w:tcPr>
          <w:p w14:paraId="0417977B" w14:textId="77777777" w:rsidR="009907BA" w:rsidRPr="00803DAB" w:rsidRDefault="009907BA" w:rsidP="00F87A29">
            <w:pPr>
              <w:pStyle w:val="17-tablecontent"/>
              <w:rPr>
                <w:color w:val="auto"/>
                <w:lang w:eastAsia="zh-CN"/>
              </w:rPr>
            </w:pPr>
            <w:r w:rsidRPr="00803DAB">
              <w:rPr>
                <w:color w:val="auto"/>
                <w:lang w:eastAsia="zh-CN"/>
              </w:rPr>
              <w:t xml:space="preserve">0.67 </w:t>
            </w:r>
          </w:p>
        </w:tc>
        <w:tc>
          <w:tcPr>
            <w:tcW w:w="235" w:type="pct"/>
            <w:tcBorders>
              <w:top w:val="nil"/>
              <w:left w:val="nil"/>
              <w:bottom w:val="nil"/>
              <w:right w:val="nil"/>
            </w:tcBorders>
            <w:shd w:val="clear" w:color="auto" w:fill="auto"/>
            <w:vAlign w:val="center"/>
          </w:tcPr>
          <w:p w14:paraId="181B02EE" w14:textId="77777777" w:rsidR="009907BA" w:rsidRPr="00803DAB" w:rsidRDefault="009907BA" w:rsidP="00F87A29">
            <w:pPr>
              <w:pStyle w:val="17-tablecontent"/>
              <w:rPr>
                <w:color w:val="auto"/>
                <w:lang w:eastAsia="zh-CN"/>
              </w:rPr>
            </w:pPr>
            <w:r w:rsidRPr="00803DAB">
              <w:rPr>
                <w:color w:val="auto"/>
                <w:lang w:eastAsia="zh-CN"/>
              </w:rPr>
              <w:t xml:space="preserve">0.77 </w:t>
            </w:r>
          </w:p>
        </w:tc>
        <w:tc>
          <w:tcPr>
            <w:tcW w:w="235" w:type="pct"/>
            <w:tcBorders>
              <w:top w:val="nil"/>
              <w:left w:val="nil"/>
              <w:bottom w:val="nil"/>
              <w:right w:val="nil"/>
            </w:tcBorders>
            <w:shd w:val="clear" w:color="auto" w:fill="auto"/>
            <w:vAlign w:val="center"/>
          </w:tcPr>
          <w:p w14:paraId="5F4C359B" w14:textId="77777777" w:rsidR="009907BA" w:rsidRPr="00803DAB" w:rsidRDefault="009907BA" w:rsidP="00F87A29">
            <w:pPr>
              <w:pStyle w:val="17-tablecontent"/>
              <w:rPr>
                <w:color w:val="auto"/>
                <w:lang w:eastAsia="zh-CN"/>
              </w:rPr>
            </w:pPr>
            <w:r w:rsidRPr="00803DAB">
              <w:rPr>
                <w:color w:val="auto"/>
                <w:lang w:eastAsia="zh-CN"/>
              </w:rPr>
              <w:t xml:space="preserve">0.82 </w:t>
            </w:r>
          </w:p>
        </w:tc>
        <w:tc>
          <w:tcPr>
            <w:tcW w:w="235" w:type="pct"/>
            <w:tcBorders>
              <w:top w:val="nil"/>
              <w:left w:val="nil"/>
              <w:bottom w:val="nil"/>
              <w:right w:val="nil"/>
            </w:tcBorders>
            <w:shd w:val="clear" w:color="auto" w:fill="auto"/>
            <w:vAlign w:val="center"/>
          </w:tcPr>
          <w:p w14:paraId="09B170A6" w14:textId="77777777" w:rsidR="009907BA" w:rsidRPr="00803DAB" w:rsidRDefault="009907BA" w:rsidP="00F87A29">
            <w:pPr>
              <w:pStyle w:val="17-tablecontent"/>
              <w:rPr>
                <w:color w:val="auto"/>
                <w:lang w:eastAsia="zh-CN"/>
              </w:rPr>
            </w:pPr>
            <w:r w:rsidRPr="00803DAB">
              <w:rPr>
                <w:color w:val="auto"/>
                <w:lang w:eastAsia="zh-CN"/>
              </w:rPr>
              <w:t>0.9</w:t>
            </w:r>
          </w:p>
        </w:tc>
        <w:tc>
          <w:tcPr>
            <w:tcW w:w="235" w:type="pct"/>
            <w:shd w:val="clear" w:color="auto" w:fill="auto"/>
            <w:vAlign w:val="center"/>
          </w:tcPr>
          <w:p w14:paraId="773B5503" w14:textId="77777777" w:rsidR="009907BA" w:rsidRPr="00803DAB" w:rsidRDefault="009907BA" w:rsidP="00F87A29">
            <w:pPr>
              <w:pStyle w:val="17-tablecontent"/>
              <w:rPr>
                <w:color w:val="auto"/>
                <w:lang w:eastAsia="zh-CN"/>
              </w:rPr>
            </w:pPr>
          </w:p>
        </w:tc>
        <w:tc>
          <w:tcPr>
            <w:tcW w:w="723" w:type="pct"/>
            <w:vAlign w:val="center"/>
          </w:tcPr>
          <w:p w14:paraId="3A394395" w14:textId="52513BC5"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{"citationItems":[{"id":"ITEM-1","itemData":{"DOI":"10.1016/j.ijmst.2015.12.019","ISSN":"20952686","abstract":"In order to investigate the physical and mechanical properties of sandstone containing fissures after exposure to high temperatures, fissures with different angles α were prefabricated in the plate sandstone samples, and the processed samples were then heated at 5 different temperatures. Indoor uniaxial compression was conducted to analyze the change rules of physical properties of sandstone after exposure to high temperature, and the deformation, strength and failure characteristics of sandstone containing fissures. The results show that, with increasing temperature, the volume of sandstone increases gradually while the quality and density decrease gradually, and the color of sandstone remains basically unchanged while the brightness increases markedly when the temperature is higher than 585 °C; the peak strength of sandstone containing fissures first decreases then increases when the temperature is between 25 °C and 400 °C. The peak strain of sandstone containing fissures increases g adually while the average modulus decreases gradually with increasing temperature, and the mechanical properties of sandstone show obvious deterioration after 400 °C. The peak strain of sandstone containing fissures increases gradually while the average modulus decreases gradually with increasing temperature; with increasing angle α of the fissure, the evolution characteristics of the macro-mechanical parameters of sandstone are closely related to the their own mechanical properties. When the temperature is 800 °C, the correlation between the peak strength and average modulus of sandstone and the angle α of the fissure is obviously weakened. The failure modes of sandstone containing fissures after high temperature exposure are of three different kinds including: tensile crack failure, tensile and shear cracks mixed failure, and shear crack failure. Tensile and shear crack mixed failure occur mainly at low temperatures and small angles; tensile crack failure occurs at high temperatures and large angles.","author":[{"dropping-particle":"","family":"Zhu","given":"Tantan","non-dropping-particle":"","parse-names":false,"suffix":""},{"dropping-particle":"","family":"Jing","given":"Hongwen","non-dropping-particle":"","parse-names":false,"suffix":""},{"dropping-particle":"","family":"Su","given":"Haijian","non-dropping-particle":"","parse-names":false,"suffix":""},{"dropping-particle":"","family":"Yin","given":"Qian","non-dropping-particle":"","parse-names":false,"suffix":""},{"dropping-particle":"","family":"Du","given":"Mingrui","non-dropping-particle":"","parse-names":false,"suffix":""},{"dropping-particle":"","family":"Han","given":"Guansheng","non-dropping-particle":"","parse-names":false,"suffix":""}],"container-title":"International Journal of Mining Science and Technology","id":"ITEM-1","issue":"2","issued":{"date-parts":[["2016"]]},"page":"319-325","publisher":"China University of Mining &amp; Technology","title":"Physical and mechanical properties of sandstone containing a single fissure after exposure to high temperatures","type":"article-journal","volume":"26"},"uris":["http://www.mendeley.com/documents/?uuid=9fdaddfd-2856-4179-a08b-c1280c28c862"]}],"mendeley":{"formattedCitation":"(Zhu et al., 2016)","manualFormatting":"Zhu et al. (2016","plainTextFormattedCitation":"(Zhu et al., 2016)","previouslyFormattedCitation":"(Zhu et al. 2016)"},"properties":{"noteIndex":0},"schema":"https://github.com/citation-style-language/schema/raw/master/csl-citation.json"}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 et al. (2016</w:t>
            </w:r>
            <w:r w:rsidRPr="00803DAB">
              <w:rPr>
                <w:color w:val="auto"/>
                <w:lang w:eastAsia="zh-CN"/>
              </w:rPr>
              <w:fldChar w:fldCharType="end"/>
            </w:r>
            <w:r w:rsidRPr="00803DAB">
              <w:rPr>
                <w:color w:val="auto"/>
                <w:lang w:eastAsia="zh-CN"/>
              </w:rPr>
              <w:t>)</w:t>
            </w:r>
          </w:p>
        </w:tc>
      </w:tr>
      <w:tr w:rsidR="009907BA" w:rsidRPr="00803DAB" w14:paraId="1860FE3E" w14:textId="77777777" w:rsidTr="00F87A29">
        <w:tc>
          <w:tcPr>
            <w:tcW w:w="407" w:type="pct"/>
            <w:vAlign w:val="center"/>
          </w:tcPr>
          <w:p w14:paraId="2BB1DD25" w14:textId="77777777" w:rsidR="009907BA" w:rsidRPr="00803DAB" w:rsidRDefault="009907BA" w:rsidP="00F87A29">
            <w:pPr>
              <w:pStyle w:val="17-tablecontent"/>
              <w:rPr>
                <w:color w:val="auto"/>
                <w:lang w:eastAsia="zh-CN"/>
              </w:rPr>
            </w:pPr>
            <w:r w:rsidRPr="00803DAB">
              <w:rPr>
                <w:color w:val="auto"/>
                <w:lang w:eastAsia="zh-CN"/>
              </w:rPr>
              <w:t>Sandstone</w:t>
            </w:r>
          </w:p>
        </w:tc>
        <w:tc>
          <w:tcPr>
            <w:tcW w:w="320" w:type="pct"/>
            <w:vAlign w:val="center"/>
          </w:tcPr>
          <w:p w14:paraId="617D9BD9" w14:textId="77777777" w:rsidR="009907BA" w:rsidRPr="00803DAB" w:rsidRDefault="009907BA" w:rsidP="00F87A29">
            <w:pPr>
              <w:pStyle w:val="17-tablecontent"/>
              <w:rPr>
                <w:color w:val="auto"/>
                <w:lang w:eastAsia="zh-CN"/>
              </w:rPr>
            </w:pPr>
            <w:r w:rsidRPr="00803DAB">
              <w:rPr>
                <w:color w:val="auto"/>
                <w:lang w:eastAsia="zh-CN"/>
              </w:rPr>
              <w:t>8.85</w:t>
            </w:r>
          </w:p>
        </w:tc>
        <w:tc>
          <w:tcPr>
            <w:tcW w:w="272" w:type="pct"/>
            <w:shd w:val="clear" w:color="auto" w:fill="auto"/>
            <w:vAlign w:val="center"/>
          </w:tcPr>
          <w:p w14:paraId="2AD0B1A5" w14:textId="77777777" w:rsidR="009907BA" w:rsidRPr="00803DAB" w:rsidRDefault="009907BA" w:rsidP="00F87A29">
            <w:pPr>
              <w:pStyle w:val="17-tablecontent"/>
              <w:rPr>
                <w:color w:val="auto"/>
                <w:lang w:eastAsia="zh-CN"/>
              </w:rPr>
            </w:pPr>
          </w:p>
        </w:tc>
        <w:tc>
          <w:tcPr>
            <w:tcW w:w="272" w:type="pct"/>
            <w:shd w:val="clear" w:color="auto" w:fill="auto"/>
            <w:vAlign w:val="center"/>
          </w:tcPr>
          <w:p w14:paraId="233BCA4E" w14:textId="77777777" w:rsidR="009907BA" w:rsidRPr="00803DAB" w:rsidRDefault="009907BA" w:rsidP="00F87A29">
            <w:pPr>
              <w:pStyle w:val="17-tablecontent"/>
              <w:rPr>
                <w:color w:val="auto"/>
                <w:lang w:eastAsia="zh-CN"/>
              </w:rPr>
            </w:pPr>
            <w:r w:rsidRPr="00803DAB">
              <w:rPr>
                <w:color w:val="auto"/>
                <w:lang w:eastAsia="zh-CN"/>
              </w:rPr>
              <w:t>7.61</w:t>
            </w:r>
          </w:p>
        </w:tc>
        <w:tc>
          <w:tcPr>
            <w:tcW w:w="272" w:type="pct"/>
            <w:shd w:val="clear" w:color="auto" w:fill="auto"/>
            <w:vAlign w:val="center"/>
          </w:tcPr>
          <w:p w14:paraId="47CCD120" w14:textId="77777777" w:rsidR="009907BA" w:rsidRPr="00803DAB" w:rsidRDefault="009907BA" w:rsidP="00F87A29">
            <w:pPr>
              <w:pStyle w:val="17-tablecontent"/>
              <w:rPr>
                <w:color w:val="auto"/>
                <w:lang w:eastAsia="zh-CN"/>
              </w:rPr>
            </w:pPr>
            <w:r w:rsidRPr="00803DAB">
              <w:rPr>
                <w:color w:val="auto"/>
                <w:lang w:eastAsia="zh-CN"/>
              </w:rPr>
              <w:t>7.44</w:t>
            </w:r>
          </w:p>
        </w:tc>
        <w:tc>
          <w:tcPr>
            <w:tcW w:w="272" w:type="pct"/>
            <w:shd w:val="clear" w:color="auto" w:fill="auto"/>
            <w:vAlign w:val="center"/>
          </w:tcPr>
          <w:p w14:paraId="177F9AB5" w14:textId="77777777" w:rsidR="009907BA" w:rsidRPr="00803DAB" w:rsidRDefault="009907BA" w:rsidP="00F87A29">
            <w:pPr>
              <w:pStyle w:val="17-tablecontent"/>
              <w:rPr>
                <w:color w:val="auto"/>
                <w:lang w:eastAsia="zh-CN"/>
              </w:rPr>
            </w:pPr>
            <w:r w:rsidRPr="00803DAB">
              <w:rPr>
                <w:color w:val="auto"/>
                <w:lang w:eastAsia="zh-CN"/>
              </w:rPr>
              <w:t>7.49</w:t>
            </w:r>
          </w:p>
        </w:tc>
        <w:tc>
          <w:tcPr>
            <w:tcW w:w="272" w:type="pct"/>
            <w:shd w:val="clear" w:color="auto" w:fill="auto"/>
            <w:vAlign w:val="center"/>
          </w:tcPr>
          <w:p w14:paraId="155EE2AE" w14:textId="77777777" w:rsidR="009907BA" w:rsidRPr="00803DAB" w:rsidRDefault="009907BA" w:rsidP="00F87A29">
            <w:pPr>
              <w:pStyle w:val="17-tablecontent"/>
              <w:rPr>
                <w:color w:val="auto"/>
                <w:lang w:eastAsia="zh-CN"/>
              </w:rPr>
            </w:pPr>
            <w:r w:rsidRPr="00803DAB">
              <w:rPr>
                <w:color w:val="auto"/>
                <w:lang w:eastAsia="zh-CN"/>
              </w:rPr>
              <w:t>7.74</w:t>
            </w:r>
          </w:p>
        </w:tc>
        <w:tc>
          <w:tcPr>
            <w:tcW w:w="272" w:type="pct"/>
            <w:shd w:val="clear" w:color="auto" w:fill="auto"/>
            <w:vAlign w:val="center"/>
          </w:tcPr>
          <w:p w14:paraId="742AE747" w14:textId="77777777" w:rsidR="009907BA" w:rsidRPr="00803DAB" w:rsidRDefault="009907BA" w:rsidP="00F87A29">
            <w:pPr>
              <w:pStyle w:val="17-tablecontent"/>
              <w:rPr>
                <w:color w:val="auto"/>
                <w:lang w:eastAsia="zh-CN"/>
              </w:rPr>
            </w:pPr>
            <w:r w:rsidRPr="00803DAB">
              <w:rPr>
                <w:color w:val="auto"/>
                <w:lang w:eastAsia="zh-CN"/>
              </w:rPr>
              <w:t>7.78</w:t>
            </w:r>
          </w:p>
        </w:tc>
        <w:tc>
          <w:tcPr>
            <w:tcW w:w="272" w:type="pct"/>
            <w:shd w:val="clear" w:color="auto" w:fill="auto"/>
            <w:vAlign w:val="center"/>
          </w:tcPr>
          <w:p w14:paraId="2CF7863B" w14:textId="77777777" w:rsidR="009907BA" w:rsidRPr="00803DAB" w:rsidRDefault="009907BA" w:rsidP="00F87A29">
            <w:pPr>
              <w:pStyle w:val="17-tablecontent"/>
              <w:rPr>
                <w:color w:val="auto"/>
                <w:lang w:eastAsia="zh-CN"/>
              </w:rPr>
            </w:pPr>
          </w:p>
        </w:tc>
        <w:tc>
          <w:tcPr>
            <w:tcW w:w="235" w:type="pct"/>
            <w:tcBorders>
              <w:bottom w:val="nil"/>
            </w:tcBorders>
            <w:shd w:val="clear" w:color="auto" w:fill="auto"/>
            <w:vAlign w:val="center"/>
          </w:tcPr>
          <w:p w14:paraId="2EE54D97" w14:textId="77777777" w:rsidR="009907BA" w:rsidRPr="00803DAB" w:rsidRDefault="009907BA" w:rsidP="00F87A29">
            <w:pPr>
              <w:pStyle w:val="17-tablecontent"/>
              <w:rPr>
                <w:color w:val="auto"/>
                <w:lang w:eastAsia="zh-CN"/>
              </w:rPr>
            </w:pPr>
          </w:p>
        </w:tc>
        <w:tc>
          <w:tcPr>
            <w:tcW w:w="235" w:type="pct"/>
            <w:tcBorders>
              <w:top w:val="nil"/>
              <w:left w:val="nil"/>
              <w:bottom w:val="nil"/>
              <w:right w:val="nil"/>
            </w:tcBorders>
            <w:shd w:val="clear" w:color="auto" w:fill="auto"/>
            <w:vAlign w:val="center"/>
          </w:tcPr>
          <w:p w14:paraId="2DDE70A0"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35" w:type="pct"/>
            <w:tcBorders>
              <w:top w:val="nil"/>
              <w:left w:val="nil"/>
              <w:bottom w:val="nil"/>
              <w:right w:val="nil"/>
            </w:tcBorders>
            <w:shd w:val="clear" w:color="auto" w:fill="auto"/>
            <w:vAlign w:val="center"/>
          </w:tcPr>
          <w:p w14:paraId="49936AA3" w14:textId="77777777" w:rsidR="009907BA" w:rsidRPr="00803DAB" w:rsidRDefault="009907BA" w:rsidP="00F87A29">
            <w:pPr>
              <w:pStyle w:val="17-tablecontent"/>
              <w:rPr>
                <w:color w:val="auto"/>
                <w:lang w:eastAsia="zh-CN"/>
              </w:rPr>
            </w:pPr>
            <w:r w:rsidRPr="00803DAB">
              <w:rPr>
                <w:color w:val="auto"/>
                <w:lang w:eastAsia="zh-CN"/>
              </w:rPr>
              <w:t xml:space="preserve">0.84 </w:t>
            </w:r>
          </w:p>
        </w:tc>
        <w:tc>
          <w:tcPr>
            <w:tcW w:w="235" w:type="pct"/>
            <w:tcBorders>
              <w:top w:val="nil"/>
              <w:left w:val="nil"/>
              <w:bottom w:val="nil"/>
              <w:right w:val="nil"/>
            </w:tcBorders>
            <w:shd w:val="clear" w:color="auto" w:fill="auto"/>
            <w:vAlign w:val="center"/>
          </w:tcPr>
          <w:p w14:paraId="376ED81E" w14:textId="77777777" w:rsidR="009907BA" w:rsidRPr="00803DAB" w:rsidRDefault="009907BA" w:rsidP="00F87A29">
            <w:pPr>
              <w:pStyle w:val="17-tablecontent"/>
              <w:rPr>
                <w:color w:val="auto"/>
                <w:lang w:eastAsia="zh-CN"/>
              </w:rPr>
            </w:pPr>
            <w:r w:rsidRPr="00803DAB">
              <w:rPr>
                <w:color w:val="auto"/>
                <w:lang w:eastAsia="zh-CN"/>
              </w:rPr>
              <w:t xml:space="preserve">0.85 </w:t>
            </w:r>
          </w:p>
        </w:tc>
        <w:tc>
          <w:tcPr>
            <w:tcW w:w="235" w:type="pct"/>
            <w:tcBorders>
              <w:top w:val="nil"/>
              <w:left w:val="nil"/>
              <w:bottom w:val="nil"/>
              <w:right w:val="nil"/>
            </w:tcBorders>
            <w:shd w:val="clear" w:color="auto" w:fill="auto"/>
            <w:vAlign w:val="center"/>
          </w:tcPr>
          <w:p w14:paraId="3265B5C4" w14:textId="77777777" w:rsidR="009907BA" w:rsidRPr="00803DAB" w:rsidRDefault="009907BA" w:rsidP="00F87A29">
            <w:pPr>
              <w:pStyle w:val="17-tablecontent"/>
              <w:rPr>
                <w:color w:val="auto"/>
                <w:lang w:eastAsia="zh-CN"/>
              </w:rPr>
            </w:pPr>
            <w:r w:rsidRPr="00803DAB">
              <w:rPr>
                <w:color w:val="auto"/>
                <w:lang w:eastAsia="zh-CN"/>
              </w:rPr>
              <w:t xml:space="preserve">0.87 </w:t>
            </w:r>
          </w:p>
        </w:tc>
        <w:tc>
          <w:tcPr>
            <w:tcW w:w="235" w:type="pct"/>
            <w:tcBorders>
              <w:top w:val="nil"/>
              <w:left w:val="nil"/>
              <w:bottom w:val="nil"/>
              <w:right w:val="nil"/>
            </w:tcBorders>
            <w:shd w:val="clear" w:color="auto" w:fill="auto"/>
            <w:vAlign w:val="center"/>
          </w:tcPr>
          <w:p w14:paraId="02FAE2E5" w14:textId="77777777" w:rsidR="009907BA" w:rsidRPr="00803DAB" w:rsidRDefault="009907BA" w:rsidP="00F87A29">
            <w:pPr>
              <w:pStyle w:val="17-tablecontent"/>
              <w:rPr>
                <w:color w:val="auto"/>
                <w:lang w:eastAsia="zh-CN"/>
              </w:rPr>
            </w:pPr>
            <w:r w:rsidRPr="00803DAB">
              <w:rPr>
                <w:color w:val="auto"/>
                <w:lang w:eastAsia="zh-CN"/>
              </w:rPr>
              <w:t xml:space="preserve">0.88 </w:t>
            </w:r>
          </w:p>
        </w:tc>
        <w:tc>
          <w:tcPr>
            <w:tcW w:w="235" w:type="pct"/>
            <w:tcBorders>
              <w:bottom w:val="nil"/>
            </w:tcBorders>
            <w:shd w:val="clear" w:color="auto" w:fill="auto"/>
            <w:vAlign w:val="center"/>
          </w:tcPr>
          <w:p w14:paraId="6DDF11A1" w14:textId="77777777" w:rsidR="009907BA" w:rsidRPr="00803DAB" w:rsidRDefault="009907BA" w:rsidP="00F87A29">
            <w:pPr>
              <w:pStyle w:val="17-tablecontent"/>
              <w:rPr>
                <w:color w:val="auto"/>
                <w:lang w:eastAsia="zh-CN"/>
              </w:rPr>
            </w:pPr>
          </w:p>
        </w:tc>
        <w:tc>
          <w:tcPr>
            <w:tcW w:w="723" w:type="pct"/>
            <w:vAlign w:val="center"/>
          </w:tcPr>
          <w:p w14:paraId="21B42E4D" w14:textId="77F8FC96"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{"citationItems":[{"id":"ITEM-1","itemData":{"DOI":"10.1007/s00024-019-02201-8","ISSN":"14209136","abstract":"To better understand the basic properties and phenomena of compression failure in rock mass structures, a series of uniaxial compression tests on sandstone specimens was carried out using loading equipment, an acoustic emission system, a computed tomography scanning system and a high-speed video camera. The results showed that the fracture process of sandstone samples was divided into three stages: original micro-crack closure, micro-crack nucleation and macro-crack propagation. Avalanche energies of the intact and single-fissured specimens followed a power-law distribution, which revealed avalanche criticality. The optimal exponents (r) of single-fissured specimens were about 1.64 and were slightly lower than that of the intact specimen. The fitted power-law exponents (r</w:instrText>
            </w:r>
            <w:r w:rsidR="0087279A">
              <w:rPr>
                <w:rFonts w:hint="eastAsia"/>
                <w:color w:val="auto"/>
                <w:lang w:eastAsia="zh-CN"/>
              </w:rPr>
              <w:instrText>′</w:instrText>
            </w:r>
            <w:r w:rsidR="0087279A">
              <w:rPr>
                <w:color w:val="auto"/>
                <w:lang w:eastAsia="zh-CN"/>
              </w:rPr>
              <w:instrText>) of sandstone specimens change in the different stages of experiments and gradually tend to a stable value, which acted as a “warning signal” for the impending major collapse. Based on histogram analysis and the maximum likelihood method, the presence of a flaw may affect the statistical properties of avalanche energies. The flaw inclination angle had little influence on the optimal exponent, but it had certain influence on the fracture modes of the specimens. This paper may provide a new theoretical basis for predicting the collapse failure of engineering rock mass structures.","author":[{"dropping-particle":"","family":"Li","given":"Shujian","non-dropping-particle":"","parse-names":false,"suffix":""},{"dropping-particle":"","family":"Zhang","given":"Dongming","non-dropping-particle":"","parse-names":false,"suffix":""},{"dropping-particle":"","family":"Bai","given":"Xin","non-dropping-particle":"","parse-names":false,"suffix":""},{"dropping-particle":"","family":"Zhang","given":"Xianmeng","non-dropping-particle":"","parse-names":false,"suffix":""},{"dropping-particle":"","family":"Chu","given":"Yapei","non-dropping-particle":"","parse-names":false,"suffix":""},{"dropping-particle":"","family":"Guo","given":"Kunyong","non-dropping-particle":"","parse-names":false,"suffix":""}],"container-title":"Pure and Applied Geophysics","id":"ITEM-1","issue":"10","issued":{"date-parts":[["2019"]]},"page":"4519-4532","title":"Experimental Study on Mechanical Properties, Acoustic Emission Energies and Failure Modes of Pre-cracked Rock Materials under Uniaxial Compression","type":"article-journal","volume":"176"},"uris":["http://www.mendeley.com/documents/?uuid=d9a0b485-a6be-4de2-bef9-b66fa598e40c"]}],"mendeley":{"formattedCitation":"(Li et al., 2019b)","manualFormatting":"Li et al. (2019","plainTextFormattedCitation":"(Li et al., 2019b)","previouslyFormattedCitation":"(Li et al. 2019b)"},"properties":{"noteIndex":0},"schema":"https://github.com/citation-style-language/schema/raw/master/csl-citation.json"}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Li et al. (2019</w:t>
            </w:r>
            <w:r w:rsidRPr="00803DAB">
              <w:rPr>
                <w:color w:val="auto"/>
                <w:lang w:eastAsia="zh-CN"/>
              </w:rPr>
              <w:fldChar w:fldCharType="end"/>
            </w:r>
            <w:r w:rsidR="00131190">
              <w:rPr>
                <w:color w:val="auto"/>
                <w:lang w:eastAsia="zh-CN"/>
              </w:rPr>
              <w:t>b</w:t>
            </w:r>
            <w:r w:rsidRPr="00803DAB">
              <w:rPr>
                <w:color w:val="auto"/>
                <w:lang w:eastAsia="zh-CN"/>
              </w:rPr>
              <w:t>)</w:t>
            </w:r>
          </w:p>
        </w:tc>
      </w:tr>
      <w:tr w:rsidR="009907BA" w:rsidRPr="00803DAB" w14:paraId="40970826" w14:textId="77777777" w:rsidTr="00F87A29">
        <w:tc>
          <w:tcPr>
            <w:tcW w:w="407" w:type="pct"/>
            <w:tcBorders>
              <w:bottom w:val="nil"/>
            </w:tcBorders>
            <w:vAlign w:val="center"/>
          </w:tcPr>
          <w:p w14:paraId="5C0641D3" w14:textId="77777777" w:rsidR="009907BA" w:rsidRPr="00803DAB" w:rsidRDefault="009907BA" w:rsidP="00F87A29">
            <w:pPr>
              <w:pStyle w:val="17-tablecontent"/>
              <w:rPr>
                <w:color w:val="auto"/>
                <w:lang w:eastAsia="zh-CN"/>
              </w:rPr>
            </w:pPr>
            <w:r w:rsidRPr="00803DAB">
              <w:rPr>
                <w:color w:val="auto"/>
                <w:lang w:eastAsia="zh-CN"/>
              </w:rPr>
              <w:t>Granite</w:t>
            </w:r>
          </w:p>
        </w:tc>
        <w:tc>
          <w:tcPr>
            <w:tcW w:w="320" w:type="pct"/>
            <w:tcBorders>
              <w:bottom w:val="nil"/>
            </w:tcBorders>
            <w:vAlign w:val="center"/>
          </w:tcPr>
          <w:p w14:paraId="7718296B" w14:textId="77777777" w:rsidR="009907BA" w:rsidRPr="00803DAB" w:rsidRDefault="009907BA" w:rsidP="00F87A29">
            <w:pPr>
              <w:pStyle w:val="17-tablecontent"/>
              <w:rPr>
                <w:color w:val="auto"/>
                <w:lang w:eastAsia="zh-CN"/>
              </w:rPr>
            </w:pPr>
            <w:r w:rsidRPr="00803DAB">
              <w:rPr>
                <w:color w:val="auto"/>
                <w:lang w:eastAsia="zh-CN"/>
              </w:rPr>
              <w:t>44.94</w:t>
            </w:r>
          </w:p>
        </w:tc>
        <w:tc>
          <w:tcPr>
            <w:tcW w:w="272" w:type="pct"/>
            <w:tcBorders>
              <w:bottom w:val="nil"/>
            </w:tcBorders>
            <w:shd w:val="clear" w:color="auto" w:fill="auto"/>
            <w:vAlign w:val="center"/>
          </w:tcPr>
          <w:p w14:paraId="74F9F20B" w14:textId="77777777" w:rsidR="009907BA" w:rsidRPr="00803DAB" w:rsidRDefault="009907BA" w:rsidP="00F87A29">
            <w:pPr>
              <w:pStyle w:val="17-tablecontent"/>
              <w:rPr>
                <w:color w:val="auto"/>
                <w:lang w:eastAsia="zh-CN"/>
              </w:rPr>
            </w:pPr>
            <w:r w:rsidRPr="00803DAB">
              <w:rPr>
                <w:color w:val="auto"/>
                <w:lang w:eastAsia="zh-CN"/>
              </w:rPr>
              <w:t>31.78</w:t>
            </w:r>
          </w:p>
        </w:tc>
        <w:tc>
          <w:tcPr>
            <w:tcW w:w="272" w:type="pct"/>
            <w:tcBorders>
              <w:bottom w:val="nil"/>
            </w:tcBorders>
            <w:shd w:val="clear" w:color="auto" w:fill="auto"/>
            <w:vAlign w:val="center"/>
          </w:tcPr>
          <w:p w14:paraId="33C779B9" w14:textId="77777777" w:rsidR="009907BA" w:rsidRPr="00803DAB" w:rsidRDefault="009907BA" w:rsidP="00F87A29">
            <w:pPr>
              <w:pStyle w:val="17-tablecontent"/>
              <w:rPr>
                <w:color w:val="auto"/>
                <w:lang w:eastAsia="zh-CN"/>
              </w:rPr>
            </w:pPr>
            <w:r w:rsidRPr="00803DAB">
              <w:rPr>
                <w:color w:val="auto"/>
                <w:lang w:eastAsia="zh-CN"/>
              </w:rPr>
              <w:t>29.61</w:t>
            </w:r>
          </w:p>
        </w:tc>
        <w:tc>
          <w:tcPr>
            <w:tcW w:w="272" w:type="pct"/>
            <w:tcBorders>
              <w:bottom w:val="nil"/>
            </w:tcBorders>
            <w:shd w:val="clear" w:color="auto" w:fill="auto"/>
            <w:vAlign w:val="center"/>
          </w:tcPr>
          <w:p w14:paraId="06956D13" w14:textId="77777777" w:rsidR="009907BA" w:rsidRPr="00803DAB" w:rsidRDefault="009907BA" w:rsidP="00F87A29">
            <w:pPr>
              <w:pStyle w:val="17-tablecontent"/>
              <w:rPr>
                <w:color w:val="auto"/>
                <w:lang w:eastAsia="zh-CN"/>
              </w:rPr>
            </w:pPr>
            <w:r w:rsidRPr="00803DAB">
              <w:rPr>
                <w:color w:val="auto"/>
                <w:lang w:eastAsia="zh-CN"/>
              </w:rPr>
              <w:t>35.26</w:t>
            </w:r>
          </w:p>
        </w:tc>
        <w:tc>
          <w:tcPr>
            <w:tcW w:w="272" w:type="pct"/>
            <w:tcBorders>
              <w:bottom w:val="nil"/>
            </w:tcBorders>
            <w:shd w:val="clear" w:color="auto" w:fill="auto"/>
            <w:vAlign w:val="center"/>
          </w:tcPr>
          <w:p w14:paraId="2D863497" w14:textId="77777777" w:rsidR="009907BA" w:rsidRPr="00803DAB" w:rsidRDefault="009907BA" w:rsidP="00F87A29">
            <w:pPr>
              <w:pStyle w:val="17-tablecontent"/>
              <w:rPr>
                <w:color w:val="auto"/>
                <w:lang w:eastAsia="zh-CN"/>
              </w:rPr>
            </w:pPr>
            <w:r w:rsidRPr="00803DAB">
              <w:rPr>
                <w:color w:val="auto"/>
                <w:lang w:eastAsia="zh-CN"/>
              </w:rPr>
              <w:t>32.74</w:t>
            </w:r>
          </w:p>
        </w:tc>
        <w:tc>
          <w:tcPr>
            <w:tcW w:w="272" w:type="pct"/>
            <w:tcBorders>
              <w:bottom w:val="nil"/>
            </w:tcBorders>
            <w:shd w:val="clear" w:color="auto" w:fill="auto"/>
            <w:vAlign w:val="center"/>
          </w:tcPr>
          <w:p w14:paraId="109C51A9" w14:textId="77777777" w:rsidR="009907BA" w:rsidRPr="00803DAB" w:rsidRDefault="009907BA" w:rsidP="00F87A29">
            <w:pPr>
              <w:pStyle w:val="17-tablecontent"/>
              <w:rPr>
                <w:color w:val="auto"/>
                <w:lang w:eastAsia="zh-CN"/>
              </w:rPr>
            </w:pPr>
            <w:r w:rsidRPr="00803DAB">
              <w:rPr>
                <w:color w:val="auto"/>
                <w:lang w:eastAsia="zh-CN"/>
              </w:rPr>
              <w:t>41.02</w:t>
            </w:r>
          </w:p>
        </w:tc>
        <w:tc>
          <w:tcPr>
            <w:tcW w:w="272" w:type="pct"/>
            <w:tcBorders>
              <w:bottom w:val="nil"/>
            </w:tcBorders>
            <w:shd w:val="clear" w:color="auto" w:fill="auto"/>
            <w:vAlign w:val="center"/>
          </w:tcPr>
          <w:p w14:paraId="57F57AD6" w14:textId="77777777" w:rsidR="009907BA" w:rsidRPr="00803DAB" w:rsidRDefault="009907BA" w:rsidP="00F87A29">
            <w:pPr>
              <w:pStyle w:val="17-tablecontent"/>
              <w:rPr>
                <w:color w:val="auto"/>
                <w:lang w:eastAsia="zh-CN"/>
              </w:rPr>
            </w:pPr>
            <w:r w:rsidRPr="00803DAB">
              <w:rPr>
                <w:color w:val="auto"/>
                <w:lang w:eastAsia="zh-CN"/>
              </w:rPr>
              <w:t>42.02</w:t>
            </w:r>
          </w:p>
        </w:tc>
        <w:tc>
          <w:tcPr>
            <w:tcW w:w="272" w:type="pct"/>
            <w:tcBorders>
              <w:bottom w:val="nil"/>
            </w:tcBorders>
            <w:shd w:val="clear" w:color="auto" w:fill="auto"/>
            <w:vAlign w:val="center"/>
          </w:tcPr>
          <w:p w14:paraId="7F7657A7" w14:textId="77777777" w:rsidR="009907BA" w:rsidRPr="00803DAB" w:rsidRDefault="009907BA" w:rsidP="00F87A29">
            <w:pPr>
              <w:pStyle w:val="17-tablecontent"/>
              <w:rPr>
                <w:color w:val="auto"/>
                <w:lang w:eastAsia="zh-CN"/>
              </w:rPr>
            </w:pPr>
            <w:r w:rsidRPr="00803DAB">
              <w:rPr>
                <w:color w:val="auto"/>
                <w:lang w:eastAsia="zh-CN"/>
              </w:rPr>
              <w:t>41.83</w:t>
            </w:r>
          </w:p>
        </w:tc>
        <w:tc>
          <w:tcPr>
            <w:tcW w:w="235" w:type="pct"/>
            <w:tcBorders>
              <w:top w:val="nil"/>
              <w:left w:val="nil"/>
              <w:bottom w:val="nil"/>
              <w:right w:val="nil"/>
            </w:tcBorders>
            <w:shd w:val="clear" w:color="auto" w:fill="auto"/>
            <w:vAlign w:val="center"/>
          </w:tcPr>
          <w:p w14:paraId="7A0DA1CB" w14:textId="77777777" w:rsidR="009907BA" w:rsidRPr="00803DAB" w:rsidRDefault="009907BA" w:rsidP="00F87A29">
            <w:pPr>
              <w:pStyle w:val="17-tablecontent"/>
              <w:rPr>
                <w:color w:val="auto"/>
                <w:lang w:eastAsia="zh-CN"/>
              </w:rPr>
            </w:pPr>
            <w:r w:rsidRPr="00803DAB">
              <w:rPr>
                <w:color w:val="auto"/>
                <w:lang w:eastAsia="zh-CN"/>
              </w:rPr>
              <w:t xml:space="preserve">0.71 </w:t>
            </w:r>
          </w:p>
        </w:tc>
        <w:tc>
          <w:tcPr>
            <w:tcW w:w="235" w:type="pct"/>
            <w:tcBorders>
              <w:top w:val="nil"/>
              <w:left w:val="nil"/>
              <w:bottom w:val="nil"/>
              <w:right w:val="nil"/>
            </w:tcBorders>
            <w:shd w:val="clear" w:color="auto" w:fill="auto"/>
            <w:vAlign w:val="center"/>
          </w:tcPr>
          <w:p w14:paraId="7804D9F6" w14:textId="77777777" w:rsidR="009907BA" w:rsidRPr="00803DAB" w:rsidRDefault="009907BA" w:rsidP="00F87A29">
            <w:pPr>
              <w:pStyle w:val="17-tablecontent"/>
              <w:rPr>
                <w:color w:val="auto"/>
                <w:lang w:eastAsia="zh-CN"/>
              </w:rPr>
            </w:pPr>
            <w:r w:rsidRPr="00803DAB">
              <w:rPr>
                <w:color w:val="auto"/>
                <w:lang w:eastAsia="zh-CN"/>
              </w:rPr>
              <w:t xml:space="preserve">0.66 </w:t>
            </w:r>
          </w:p>
        </w:tc>
        <w:tc>
          <w:tcPr>
            <w:tcW w:w="235" w:type="pct"/>
            <w:tcBorders>
              <w:top w:val="nil"/>
              <w:left w:val="nil"/>
              <w:bottom w:val="nil"/>
              <w:right w:val="nil"/>
            </w:tcBorders>
            <w:shd w:val="clear" w:color="auto" w:fill="auto"/>
            <w:vAlign w:val="center"/>
          </w:tcPr>
          <w:p w14:paraId="6D2A9DE3" w14:textId="77777777" w:rsidR="009907BA" w:rsidRPr="00803DAB" w:rsidRDefault="009907BA" w:rsidP="00F87A29">
            <w:pPr>
              <w:pStyle w:val="17-tablecontent"/>
              <w:rPr>
                <w:color w:val="auto"/>
                <w:lang w:eastAsia="zh-CN"/>
              </w:rPr>
            </w:pPr>
            <w:r w:rsidRPr="00803DAB">
              <w:rPr>
                <w:color w:val="auto"/>
                <w:lang w:eastAsia="zh-CN"/>
              </w:rPr>
              <w:t xml:space="preserve">0.78 </w:t>
            </w:r>
          </w:p>
        </w:tc>
        <w:tc>
          <w:tcPr>
            <w:tcW w:w="235" w:type="pct"/>
            <w:tcBorders>
              <w:top w:val="nil"/>
              <w:left w:val="nil"/>
              <w:bottom w:val="nil"/>
              <w:right w:val="nil"/>
            </w:tcBorders>
            <w:shd w:val="clear" w:color="auto" w:fill="auto"/>
            <w:vAlign w:val="center"/>
          </w:tcPr>
          <w:p w14:paraId="16F8007C" w14:textId="77777777" w:rsidR="009907BA" w:rsidRPr="00803DAB" w:rsidRDefault="009907BA" w:rsidP="00F87A29">
            <w:pPr>
              <w:pStyle w:val="17-tablecontent"/>
              <w:rPr>
                <w:color w:val="auto"/>
                <w:lang w:eastAsia="zh-CN"/>
              </w:rPr>
            </w:pPr>
            <w:r w:rsidRPr="00803DAB">
              <w:rPr>
                <w:color w:val="auto"/>
                <w:lang w:eastAsia="zh-CN"/>
              </w:rPr>
              <w:t xml:space="preserve">0.73 </w:t>
            </w:r>
          </w:p>
        </w:tc>
        <w:tc>
          <w:tcPr>
            <w:tcW w:w="235" w:type="pct"/>
            <w:tcBorders>
              <w:top w:val="nil"/>
              <w:left w:val="nil"/>
              <w:bottom w:val="nil"/>
              <w:right w:val="nil"/>
            </w:tcBorders>
            <w:shd w:val="clear" w:color="auto" w:fill="auto"/>
            <w:vAlign w:val="center"/>
          </w:tcPr>
          <w:p w14:paraId="433741A1" w14:textId="77777777" w:rsidR="009907BA" w:rsidRPr="00803DAB" w:rsidRDefault="009907BA" w:rsidP="00F87A29">
            <w:pPr>
              <w:pStyle w:val="17-tablecontent"/>
              <w:rPr>
                <w:color w:val="auto"/>
                <w:lang w:eastAsia="zh-CN"/>
              </w:rPr>
            </w:pPr>
            <w:r w:rsidRPr="00803DAB">
              <w:rPr>
                <w:color w:val="auto"/>
                <w:lang w:eastAsia="zh-CN"/>
              </w:rPr>
              <w:t xml:space="preserve">0.91 </w:t>
            </w:r>
          </w:p>
        </w:tc>
        <w:tc>
          <w:tcPr>
            <w:tcW w:w="235" w:type="pct"/>
            <w:tcBorders>
              <w:top w:val="nil"/>
              <w:left w:val="nil"/>
              <w:bottom w:val="nil"/>
              <w:right w:val="nil"/>
            </w:tcBorders>
            <w:shd w:val="clear" w:color="auto" w:fill="auto"/>
            <w:vAlign w:val="center"/>
          </w:tcPr>
          <w:p w14:paraId="39DD9A40" w14:textId="77777777" w:rsidR="009907BA" w:rsidRPr="00803DAB" w:rsidRDefault="009907BA" w:rsidP="00F87A29">
            <w:pPr>
              <w:pStyle w:val="17-tablecontent"/>
              <w:rPr>
                <w:color w:val="auto"/>
                <w:lang w:eastAsia="zh-CN"/>
              </w:rPr>
            </w:pPr>
            <w:r w:rsidRPr="00803DAB">
              <w:rPr>
                <w:color w:val="auto"/>
                <w:lang w:eastAsia="zh-CN"/>
              </w:rPr>
              <w:t xml:space="preserve">0.94 </w:t>
            </w:r>
          </w:p>
        </w:tc>
        <w:tc>
          <w:tcPr>
            <w:tcW w:w="235" w:type="pct"/>
            <w:tcBorders>
              <w:top w:val="nil"/>
              <w:left w:val="nil"/>
              <w:bottom w:val="nil"/>
              <w:right w:val="nil"/>
            </w:tcBorders>
            <w:shd w:val="clear" w:color="auto" w:fill="auto"/>
            <w:vAlign w:val="center"/>
          </w:tcPr>
          <w:p w14:paraId="05735E26" w14:textId="77777777" w:rsidR="009907BA" w:rsidRPr="00803DAB" w:rsidRDefault="009907BA" w:rsidP="00F87A29">
            <w:pPr>
              <w:pStyle w:val="17-tablecontent"/>
              <w:rPr>
                <w:color w:val="auto"/>
                <w:lang w:eastAsia="zh-CN"/>
              </w:rPr>
            </w:pPr>
            <w:r w:rsidRPr="00803DAB">
              <w:rPr>
                <w:color w:val="auto"/>
                <w:lang w:eastAsia="zh-CN"/>
              </w:rPr>
              <w:t xml:space="preserve">0.93 </w:t>
            </w:r>
          </w:p>
        </w:tc>
        <w:tc>
          <w:tcPr>
            <w:tcW w:w="723" w:type="pct"/>
            <w:tcBorders>
              <w:bottom w:val="nil"/>
            </w:tcBorders>
            <w:vAlign w:val="center"/>
          </w:tcPr>
          <w:p w14:paraId="35EF8390" w14:textId="63631A9F"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{"citationItems":[{"id":"ITEM-1","itemData":{"DOI":"10.1007/s00603-018-1725-5","ISBN":"0123456789","ISSN":"1434453X","abstract":"To investigate the role of fissure angle and heat treatment temperature on the mechanical properties and deformation failure behavior, uniaxial compression tests were carried out on granite specimens containing a single fissure. Using stress–strain curves, the peak strength, peak strain, and elastic modulus of the one-fissured granite specimens were analyzed in detail. The mechanical parameters are closely related to the fissure angle and the high temperature. As the fissure angle increases from 0° to 90°, the peak strength and elastic modulus first decrease and then increase, while the peak strain increases slowly. However, the peak strength and elastic modulus first increase and then decrease, while the peak strain first decreases and then increases with increasing treatment temperature. During the experiments, the crack evolution process and acoustic emission (AE) counts were obtained using real-time photography and the AE monitoring technique. In the granite specimens containing a pre-existing fissure, large AE counts are clearly observed before the peak strength, which indicates crack initiation and propagation. The accumulated AE count first increases slowly, but is followed by a sharp increase, with increasing deformation. The AE events in the one-fissured specimen also depend on the heat treatment temperature. As the temperature increases, the rate of increase of the accumulated AE count curve is reduced. Finally, using a digital image correlation method, the full fields of surface deformation were obtained for the entire testing process. In addition, the local strain around the pre-existing fissure was measured using strain gauges. The full strain field and local strain concentration are discussed to describe the fracture mechanism of brittle granite.","author":[{"dropping-particle":"","family":"Yang","given":"Sheng Qi","non-dropping-particle":"","parse-names":false,"suffix":""},{"dropping-particle":"","family":"Huang","given":"Yan Hua","non-dropping-particle":"","parse-names":false,"suffix":""},{"dropping-particle":"","family":"Tian","given":"Wen Ling","non-dropping-particle":"","parse-names":false,"suffix":""},{"dropping-particle":"","family":"Yin","given":"Peng Fei","non-dropping-particle":"","parse-names":false,"suffix":""},{"dropping-particle":"","family":"Jing","given":"Hong Wen","non-dropping-particle":"","parse-names":false,"suffix":""}],"container-title":"Rock Mechanics and Rock Engineering","id":"ITEM-1","issue":"7","issued":{"date-parts":[["2019"]]},"page":"2087-2107","publisher":"Springer Vienna","title":"Effect of High Temperature on Deformation Failure Behavior of Granite Specimen Containing a Single Fissure Under Uniaxial Compression","type":"article-journal","volume":"52"},"uris":["http://www.mendeley.com/documents/?uuid=a2586e30-6c0a-4680-8432-5810faa62f22"]}],"mendeley":{"formattedCitation":"(Yang et al., 2019)","manualFormatting":"Yang et al. (2019","plainTextFormattedCitation":"(Yang et al., 2019)","previouslyFormattedCitation":"(Yang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et al. (2019</w:t>
            </w:r>
            <w:r w:rsidRPr="00803DAB">
              <w:rPr>
                <w:color w:val="auto"/>
                <w:lang w:eastAsia="zh-CN"/>
              </w:rPr>
              <w:fldChar w:fldCharType="end"/>
            </w:r>
            <w:r w:rsidRPr="00803DAB">
              <w:rPr>
                <w:color w:val="auto"/>
                <w:lang w:eastAsia="zh-CN"/>
              </w:rPr>
              <w:t>)</w:t>
            </w:r>
          </w:p>
        </w:tc>
      </w:tr>
      <w:tr w:rsidR="009907BA" w:rsidRPr="00803DAB" w14:paraId="6603971F" w14:textId="77777777" w:rsidTr="00F87A29">
        <w:tc>
          <w:tcPr>
            <w:tcW w:w="407" w:type="pct"/>
            <w:tcBorders>
              <w:top w:val="nil"/>
              <w:bottom w:val="single" w:sz="4" w:space="0" w:color="auto"/>
            </w:tcBorders>
            <w:vAlign w:val="center"/>
          </w:tcPr>
          <w:p w14:paraId="7D2075AA" w14:textId="77777777" w:rsidR="009907BA" w:rsidRPr="00803DAB" w:rsidRDefault="009907BA" w:rsidP="00F87A29">
            <w:pPr>
              <w:pStyle w:val="17-tablecontent"/>
              <w:rPr>
                <w:color w:val="auto"/>
                <w:lang w:eastAsia="zh-CN"/>
              </w:rPr>
            </w:pPr>
            <w:r w:rsidRPr="00803DAB">
              <w:rPr>
                <w:color w:val="auto"/>
                <w:lang w:eastAsia="zh-CN"/>
              </w:rPr>
              <w:t>Granite</w:t>
            </w:r>
          </w:p>
        </w:tc>
        <w:tc>
          <w:tcPr>
            <w:tcW w:w="320" w:type="pct"/>
            <w:tcBorders>
              <w:top w:val="nil"/>
              <w:bottom w:val="single" w:sz="4" w:space="0" w:color="auto"/>
            </w:tcBorders>
            <w:vAlign w:val="center"/>
          </w:tcPr>
          <w:p w14:paraId="614EEF1F" w14:textId="77777777" w:rsidR="009907BA" w:rsidRPr="00803DAB" w:rsidRDefault="009907BA" w:rsidP="00F87A29">
            <w:pPr>
              <w:pStyle w:val="17-tablecontent"/>
              <w:rPr>
                <w:color w:val="auto"/>
                <w:lang w:eastAsia="zh-CN"/>
              </w:rPr>
            </w:pPr>
            <w:r w:rsidRPr="00803DAB">
              <w:rPr>
                <w:color w:val="auto"/>
                <w:lang w:eastAsia="zh-CN"/>
              </w:rPr>
              <w:t>44.94</w:t>
            </w:r>
          </w:p>
        </w:tc>
        <w:tc>
          <w:tcPr>
            <w:tcW w:w="272" w:type="pct"/>
            <w:tcBorders>
              <w:top w:val="nil"/>
              <w:bottom w:val="single" w:sz="4" w:space="0" w:color="auto"/>
            </w:tcBorders>
            <w:vAlign w:val="center"/>
          </w:tcPr>
          <w:p w14:paraId="2C38558D" w14:textId="77777777" w:rsidR="009907BA" w:rsidRPr="00803DAB" w:rsidRDefault="009907BA" w:rsidP="00F87A29">
            <w:pPr>
              <w:pStyle w:val="17-tablecontent"/>
              <w:rPr>
                <w:color w:val="auto"/>
                <w:lang w:eastAsia="zh-CN"/>
              </w:rPr>
            </w:pPr>
          </w:p>
        </w:tc>
        <w:tc>
          <w:tcPr>
            <w:tcW w:w="272" w:type="pct"/>
            <w:tcBorders>
              <w:top w:val="nil"/>
              <w:bottom w:val="single" w:sz="4" w:space="0" w:color="auto"/>
            </w:tcBorders>
            <w:vAlign w:val="center"/>
          </w:tcPr>
          <w:p w14:paraId="0836BB2C" w14:textId="77777777" w:rsidR="009907BA" w:rsidRPr="00803DAB" w:rsidRDefault="009907BA" w:rsidP="00F87A29">
            <w:pPr>
              <w:pStyle w:val="17-tablecontent"/>
              <w:rPr>
                <w:color w:val="auto"/>
                <w:lang w:eastAsia="zh-CN"/>
              </w:rPr>
            </w:pPr>
            <w:r w:rsidRPr="00803DAB">
              <w:rPr>
                <w:color w:val="auto"/>
                <w:lang w:eastAsia="zh-CN"/>
              </w:rPr>
              <w:t>30.15</w:t>
            </w:r>
          </w:p>
        </w:tc>
        <w:tc>
          <w:tcPr>
            <w:tcW w:w="272" w:type="pct"/>
            <w:tcBorders>
              <w:top w:val="nil"/>
              <w:bottom w:val="single" w:sz="4" w:space="0" w:color="auto"/>
            </w:tcBorders>
            <w:vAlign w:val="center"/>
          </w:tcPr>
          <w:p w14:paraId="36B73C42" w14:textId="77777777" w:rsidR="009907BA" w:rsidRPr="00803DAB" w:rsidRDefault="009907BA" w:rsidP="00F87A29">
            <w:pPr>
              <w:pStyle w:val="17-tablecontent"/>
              <w:rPr>
                <w:color w:val="auto"/>
                <w:lang w:eastAsia="zh-CN"/>
              </w:rPr>
            </w:pPr>
            <w:r w:rsidRPr="00803DAB">
              <w:rPr>
                <w:color w:val="auto"/>
                <w:lang w:eastAsia="zh-CN"/>
              </w:rPr>
              <w:t>37.22</w:t>
            </w:r>
          </w:p>
        </w:tc>
        <w:tc>
          <w:tcPr>
            <w:tcW w:w="272" w:type="pct"/>
            <w:tcBorders>
              <w:top w:val="nil"/>
              <w:bottom w:val="single" w:sz="4" w:space="0" w:color="auto"/>
            </w:tcBorders>
            <w:vAlign w:val="center"/>
          </w:tcPr>
          <w:p w14:paraId="2E8F8F70" w14:textId="77777777" w:rsidR="009907BA" w:rsidRPr="00803DAB" w:rsidRDefault="009907BA" w:rsidP="00F87A29">
            <w:pPr>
              <w:pStyle w:val="17-tablecontent"/>
              <w:rPr>
                <w:color w:val="auto"/>
                <w:lang w:eastAsia="zh-CN"/>
              </w:rPr>
            </w:pPr>
            <w:r w:rsidRPr="00803DAB">
              <w:rPr>
                <w:color w:val="auto"/>
                <w:lang w:eastAsia="zh-CN"/>
              </w:rPr>
              <w:t>35.77</w:t>
            </w:r>
          </w:p>
        </w:tc>
        <w:tc>
          <w:tcPr>
            <w:tcW w:w="272" w:type="pct"/>
            <w:tcBorders>
              <w:top w:val="nil"/>
              <w:bottom w:val="single" w:sz="4" w:space="0" w:color="auto"/>
            </w:tcBorders>
            <w:vAlign w:val="center"/>
          </w:tcPr>
          <w:p w14:paraId="547E7EE6" w14:textId="77777777" w:rsidR="009907BA" w:rsidRPr="00803DAB" w:rsidRDefault="009907BA" w:rsidP="00F87A29">
            <w:pPr>
              <w:pStyle w:val="17-tablecontent"/>
              <w:rPr>
                <w:color w:val="auto"/>
                <w:lang w:eastAsia="zh-CN"/>
              </w:rPr>
            </w:pPr>
          </w:p>
        </w:tc>
        <w:tc>
          <w:tcPr>
            <w:tcW w:w="272" w:type="pct"/>
            <w:tcBorders>
              <w:top w:val="nil"/>
              <w:bottom w:val="single" w:sz="4" w:space="0" w:color="auto"/>
            </w:tcBorders>
            <w:vAlign w:val="center"/>
          </w:tcPr>
          <w:p w14:paraId="13D714C6" w14:textId="77777777" w:rsidR="009907BA" w:rsidRPr="00803DAB" w:rsidRDefault="009907BA" w:rsidP="00F87A29">
            <w:pPr>
              <w:pStyle w:val="17-tablecontent"/>
              <w:rPr>
                <w:color w:val="auto"/>
                <w:lang w:eastAsia="zh-CN"/>
              </w:rPr>
            </w:pPr>
            <w:r w:rsidRPr="00803DAB">
              <w:rPr>
                <w:color w:val="auto"/>
                <w:lang w:eastAsia="zh-CN"/>
              </w:rPr>
              <w:t>41.08</w:t>
            </w:r>
          </w:p>
        </w:tc>
        <w:tc>
          <w:tcPr>
            <w:tcW w:w="272" w:type="pct"/>
            <w:tcBorders>
              <w:top w:val="nil"/>
              <w:bottom w:val="single" w:sz="4" w:space="0" w:color="auto"/>
            </w:tcBorders>
            <w:vAlign w:val="center"/>
          </w:tcPr>
          <w:p w14:paraId="3D44B3E4" w14:textId="77777777" w:rsidR="009907BA" w:rsidRPr="00803DAB" w:rsidRDefault="009907BA" w:rsidP="00F87A29">
            <w:pPr>
              <w:pStyle w:val="17-tablecontent"/>
              <w:rPr>
                <w:color w:val="auto"/>
                <w:lang w:eastAsia="zh-CN"/>
              </w:rPr>
            </w:pPr>
            <w:r w:rsidRPr="00803DAB">
              <w:rPr>
                <w:color w:val="auto"/>
                <w:lang w:eastAsia="zh-CN"/>
              </w:rPr>
              <w:t>42.37</w:t>
            </w:r>
          </w:p>
        </w:tc>
        <w:tc>
          <w:tcPr>
            <w:tcW w:w="235" w:type="pct"/>
            <w:tcBorders>
              <w:top w:val="nil"/>
              <w:bottom w:val="single" w:sz="4" w:space="0" w:color="auto"/>
            </w:tcBorders>
            <w:vAlign w:val="center"/>
          </w:tcPr>
          <w:p w14:paraId="0FB60201" w14:textId="77777777" w:rsidR="009907BA" w:rsidRPr="00803DAB" w:rsidRDefault="009907BA" w:rsidP="00F87A29">
            <w:pPr>
              <w:pStyle w:val="17-tablecontent"/>
              <w:rPr>
                <w:color w:val="auto"/>
                <w:lang w:eastAsia="zh-CN"/>
              </w:rPr>
            </w:pPr>
          </w:p>
        </w:tc>
        <w:tc>
          <w:tcPr>
            <w:tcW w:w="235" w:type="pct"/>
            <w:tcBorders>
              <w:top w:val="nil"/>
              <w:left w:val="nil"/>
              <w:bottom w:val="single" w:sz="4" w:space="0" w:color="auto"/>
              <w:right w:val="nil"/>
            </w:tcBorders>
            <w:shd w:val="clear" w:color="auto" w:fill="auto"/>
            <w:vAlign w:val="center"/>
          </w:tcPr>
          <w:p w14:paraId="5477A17A" w14:textId="77777777" w:rsidR="009907BA" w:rsidRPr="00803DAB" w:rsidRDefault="009907BA" w:rsidP="00F87A29">
            <w:pPr>
              <w:pStyle w:val="17-tablecontent"/>
              <w:rPr>
                <w:color w:val="auto"/>
                <w:lang w:eastAsia="zh-CN"/>
              </w:rPr>
            </w:pPr>
            <w:r w:rsidRPr="00803DAB">
              <w:rPr>
                <w:color w:val="auto"/>
                <w:lang w:eastAsia="zh-CN"/>
              </w:rPr>
              <w:t xml:space="preserve">0.67 </w:t>
            </w:r>
          </w:p>
        </w:tc>
        <w:tc>
          <w:tcPr>
            <w:tcW w:w="235" w:type="pct"/>
            <w:tcBorders>
              <w:top w:val="nil"/>
              <w:left w:val="nil"/>
              <w:bottom w:val="single" w:sz="4" w:space="0" w:color="auto"/>
              <w:right w:val="nil"/>
            </w:tcBorders>
            <w:shd w:val="clear" w:color="auto" w:fill="auto"/>
            <w:vAlign w:val="center"/>
          </w:tcPr>
          <w:p w14:paraId="0C7A993E" w14:textId="77777777" w:rsidR="009907BA" w:rsidRPr="00803DAB" w:rsidRDefault="009907BA" w:rsidP="00F87A29">
            <w:pPr>
              <w:pStyle w:val="17-tablecontent"/>
              <w:rPr>
                <w:color w:val="auto"/>
                <w:lang w:eastAsia="zh-CN"/>
              </w:rPr>
            </w:pPr>
            <w:r w:rsidRPr="00803DAB">
              <w:rPr>
                <w:color w:val="auto"/>
                <w:lang w:eastAsia="zh-CN"/>
              </w:rPr>
              <w:t xml:space="preserve">0.83 </w:t>
            </w:r>
          </w:p>
        </w:tc>
        <w:tc>
          <w:tcPr>
            <w:tcW w:w="235" w:type="pct"/>
            <w:tcBorders>
              <w:top w:val="nil"/>
              <w:left w:val="nil"/>
              <w:bottom w:val="single" w:sz="4" w:space="0" w:color="auto"/>
              <w:right w:val="nil"/>
            </w:tcBorders>
            <w:shd w:val="clear" w:color="auto" w:fill="auto"/>
            <w:vAlign w:val="center"/>
          </w:tcPr>
          <w:p w14:paraId="5655A3C8" w14:textId="77777777" w:rsidR="009907BA" w:rsidRPr="00803DAB" w:rsidRDefault="009907BA" w:rsidP="00F87A29">
            <w:pPr>
              <w:pStyle w:val="17-tablecontent"/>
              <w:rPr>
                <w:color w:val="auto"/>
                <w:lang w:eastAsia="zh-CN"/>
              </w:rPr>
            </w:pPr>
            <w:r w:rsidRPr="00803DAB">
              <w:rPr>
                <w:color w:val="auto"/>
                <w:lang w:eastAsia="zh-CN"/>
              </w:rPr>
              <w:t>0.8</w:t>
            </w:r>
          </w:p>
        </w:tc>
        <w:tc>
          <w:tcPr>
            <w:tcW w:w="235" w:type="pct"/>
            <w:tcBorders>
              <w:top w:val="nil"/>
              <w:left w:val="nil"/>
              <w:bottom w:val="single" w:sz="4" w:space="0" w:color="auto"/>
              <w:right w:val="nil"/>
            </w:tcBorders>
            <w:shd w:val="clear" w:color="auto" w:fill="auto"/>
            <w:vAlign w:val="center"/>
          </w:tcPr>
          <w:p w14:paraId="2E791BB4" w14:textId="77777777" w:rsidR="009907BA" w:rsidRPr="00803DAB" w:rsidRDefault="009907BA" w:rsidP="00F87A29">
            <w:pPr>
              <w:pStyle w:val="17-tablecontent"/>
              <w:rPr>
                <w:color w:val="auto"/>
                <w:lang w:eastAsia="zh-CN"/>
              </w:rPr>
            </w:pPr>
          </w:p>
        </w:tc>
        <w:tc>
          <w:tcPr>
            <w:tcW w:w="235" w:type="pct"/>
            <w:tcBorders>
              <w:top w:val="nil"/>
              <w:left w:val="nil"/>
              <w:bottom w:val="single" w:sz="4" w:space="0" w:color="auto"/>
              <w:right w:val="nil"/>
            </w:tcBorders>
            <w:shd w:val="clear" w:color="auto" w:fill="auto"/>
            <w:vAlign w:val="center"/>
          </w:tcPr>
          <w:p w14:paraId="77289F61" w14:textId="77777777" w:rsidR="009907BA" w:rsidRPr="00803DAB" w:rsidRDefault="009907BA" w:rsidP="00F87A29">
            <w:pPr>
              <w:pStyle w:val="17-tablecontent"/>
              <w:rPr>
                <w:color w:val="auto"/>
                <w:lang w:eastAsia="zh-CN"/>
              </w:rPr>
            </w:pPr>
            <w:r w:rsidRPr="00803DAB">
              <w:rPr>
                <w:color w:val="auto"/>
                <w:lang w:eastAsia="zh-CN"/>
              </w:rPr>
              <w:t xml:space="preserve">0.91 </w:t>
            </w:r>
          </w:p>
        </w:tc>
        <w:tc>
          <w:tcPr>
            <w:tcW w:w="235" w:type="pct"/>
            <w:tcBorders>
              <w:top w:val="nil"/>
              <w:left w:val="nil"/>
              <w:bottom w:val="single" w:sz="4" w:space="0" w:color="auto"/>
              <w:right w:val="nil"/>
            </w:tcBorders>
            <w:shd w:val="clear" w:color="auto" w:fill="auto"/>
            <w:vAlign w:val="center"/>
          </w:tcPr>
          <w:p w14:paraId="6C774804" w14:textId="77777777" w:rsidR="009907BA" w:rsidRPr="00803DAB" w:rsidRDefault="009907BA" w:rsidP="00F87A29">
            <w:pPr>
              <w:pStyle w:val="17-tablecontent"/>
              <w:rPr>
                <w:color w:val="auto"/>
                <w:lang w:eastAsia="zh-CN"/>
              </w:rPr>
            </w:pPr>
            <w:r w:rsidRPr="00803DAB">
              <w:rPr>
                <w:color w:val="auto"/>
                <w:lang w:eastAsia="zh-CN"/>
              </w:rPr>
              <w:t xml:space="preserve">0.94 </w:t>
            </w:r>
          </w:p>
        </w:tc>
        <w:tc>
          <w:tcPr>
            <w:tcW w:w="723" w:type="pct"/>
            <w:tcBorders>
              <w:top w:val="nil"/>
              <w:bottom w:val="single" w:sz="4" w:space="0" w:color="auto"/>
            </w:tcBorders>
            <w:vAlign w:val="center"/>
          </w:tcPr>
          <w:p w14:paraId="3712C45B" w14:textId="69196D78"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{"citationItems":[{"id":"ITEM-1","itemData":{"DOI":"10.1007/s00603-018-1725-5","ISBN":"0123456789","ISSN":"1434453X","abstract":"To investigate the role of fissure angle and heat treatment temperature on the mechanical properties and deformation failure behavior, uniaxial compression tests were carried out on granite specimens containing a single fissure. Using stress–strain curves, the peak strength, peak strain, and elastic modulus of the one-fissured granite specimens were analyzed in detail. The mechanical parameters are closely related to the fissure angle and the high temperature. As the fissure angle increases from 0° to 90°, the peak strength and elastic modulus first decrease and then increase, while the peak strain increases slowly. However, the peak strength and elastic modulus first increase and then decrease, while the peak strain first decreases and then increases with increasing treatment temperature. During the experiments, the crack evolution process and acoustic emission (AE) counts were obtained using real-time photography and the AE monitoring technique. In the granite specimens containing a pre-existing fissure, large AE counts are clearly observed before the peak strength, which indicates crack initiation and propagation. The accumulated AE count first increases slowly, but is followed by a sharp increase, with increasing deformation. The AE events in the one-fissured specimen also depend on the heat treatment temperature. As the temperature increases, the rate of increase of the accumulated AE count curve is reduced. Finally, using a digital image correlation method, the full fields of surface deformation were obtained for the entire testing process. In addition, the local strain around the pre-existing fissure was measured using strain gauges. The full strain field and local strain concentration are discussed to describe the fracture mechanism of brittle granite.","author":[{"dropping-particle":"","family":"Yang","given":"Sheng Qi","non-dropping-particle":"","parse-names":false,"suffix":""},{"dropping-particle":"","family":"Huang","given":"Yan Hua","non-dropping-particle":"","parse-names":false,"suffix":""},{"dropping-particle":"","family":"Tian","given":"Wen Ling","non-dropping-particle":"","parse-names":false,"suffix":""},{"dropping-particle":"","family":"Yin","given":"Peng Fei","non-dropping-particle":"","parse-names":false,"suffix":""},{"dropping-particle":"","family":"Jing","given":"Hong Wen","non-dropping-particle":"","parse-names":false,"suffix":""}],"container-title":"Rock Mechanics and Rock Engineering","id":"ITEM-1","issue":"7","issued":{"date-parts":[["2019"]]},"page":"2087-2107","publisher":"Springer Vienna","title":"Effect of High Temperature on Deformation Failure Behavior of Granite Specimen Containing a Single Fissure Under Uniaxial Compression","type":"article-journal","volume":"52"},"uris":["http://www.mendeley.com/documents/?uuid=a2586e30-6c0a-4680-8432-5810faa62f22"]}],"mendeley":{"formattedCitation":"(Yang et al., 2019)","manualFormatting":"Yang et al. (2019","plainTextFormattedCitation":"(Yang et al., 2019)","previouslyFormattedCitation":"(Yang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et al. (2019</w:t>
            </w:r>
            <w:r w:rsidRPr="00803DAB">
              <w:rPr>
                <w:color w:val="auto"/>
                <w:lang w:eastAsia="zh-CN"/>
              </w:rPr>
              <w:fldChar w:fldCharType="end"/>
            </w:r>
            <w:r w:rsidRPr="00803DAB">
              <w:rPr>
                <w:color w:val="auto"/>
                <w:lang w:eastAsia="zh-CN"/>
              </w:rPr>
              <w:t>)</w:t>
            </w:r>
          </w:p>
        </w:tc>
      </w:tr>
    </w:tbl>
    <w:p w14:paraId="32C965B7" w14:textId="77777777" w:rsidR="009907BA" w:rsidRPr="00803DAB" w:rsidRDefault="009907BA" w:rsidP="009907BA">
      <w:pPr>
        <w:pStyle w:val="18-tablenote"/>
        <w:rPr>
          <w:color w:val="auto"/>
          <w:lang w:eastAsia="zh-CN"/>
        </w:rPr>
      </w:pPr>
      <w:r w:rsidRPr="00803DAB">
        <w:rPr>
          <w:color w:val="auto"/>
          <w:lang w:eastAsia="zh-CN"/>
        </w:rPr>
        <w:t xml:space="preserve">Note: </w:t>
      </w:r>
      <w:r w:rsidRPr="00803DAB">
        <w:rPr>
          <w:i/>
          <w:iCs/>
          <w:color w:val="auto"/>
          <w:lang w:eastAsia="zh-CN"/>
        </w:rPr>
        <w:t>E</w:t>
      </w:r>
      <w:r w:rsidRPr="00803DAB">
        <w:rPr>
          <w:color w:val="auto"/>
          <w:vertAlign w:val="subscript"/>
          <w:lang w:eastAsia="zh-CN"/>
        </w:rPr>
        <w:t>i</w:t>
      </w:r>
      <w:r w:rsidRPr="00803DAB">
        <w:rPr>
          <w:color w:val="auto"/>
          <w:lang w:eastAsia="zh-CN"/>
        </w:rPr>
        <w:t xml:space="preserve"> is the elastic modulus of intact samples, </w:t>
      </w:r>
      <w:r w:rsidRPr="00803DAB">
        <w:rPr>
          <w:i/>
          <w:iCs/>
          <w:color w:val="auto"/>
          <w:lang w:eastAsia="zh-CN"/>
        </w:rPr>
        <w:t>E</w:t>
      </w:r>
      <w:r w:rsidRPr="00803DAB">
        <w:rPr>
          <w:color w:val="auto"/>
          <w:vertAlign w:val="subscript"/>
          <w:lang w:eastAsia="zh-CN"/>
        </w:rPr>
        <w:t>c</w:t>
      </w:r>
      <w:r w:rsidRPr="00803DAB">
        <w:rPr>
          <w:color w:val="auto"/>
          <w:lang w:eastAsia="zh-CN"/>
        </w:rPr>
        <w:t xml:space="preserve"> is the elastic modulus of pre-cracked samples.</w:t>
      </w:r>
    </w:p>
    <w:p w14:paraId="734FF512" w14:textId="77777777" w:rsidR="009907BA" w:rsidRPr="00803DAB" w:rsidRDefault="009907BA" w:rsidP="009907BA">
      <w:pPr>
        <w:pStyle w:val="11-maintext"/>
        <w:ind w:firstLine="320"/>
        <w:rPr>
          <w:rFonts w:eastAsia="DengXian"/>
          <w:color w:val="auto"/>
          <w:lang w:eastAsia="zh-CN"/>
        </w:rPr>
      </w:pPr>
    </w:p>
    <w:p w14:paraId="5D799A57" w14:textId="77777777" w:rsidR="009907BA" w:rsidRPr="00803DAB" w:rsidRDefault="009907BA" w:rsidP="009907BA">
      <w:pPr>
        <w:pStyle w:val="11-maintext"/>
        <w:ind w:firstLine="320"/>
        <w:rPr>
          <w:rFonts w:eastAsia="DengXian"/>
          <w:color w:val="auto"/>
          <w:lang w:eastAsia="zh-CN"/>
        </w:rPr>
      </w:pPr>
    </w:p>
    <w:p w14:paraId="1D22DD8A" w14:textId="77777777" w:rsidR="009907BA" w:rsidRPr="00803DAB" w:rsidRDefault="009907BA" w:rsidP="009907BA">
      <w:pPr>
        <w:pStyle w:val="15-table"/>
        <w:rPr>
          <w:color w:val="auto"/>
          <w:lang w:eastAsia="zh-CN"/>
        </w:rPr>
      </w:pPr>
      <w:r w:rsidRPr="00803DAB">
        <w:rPr>
          <w:color w:val="auto"/>
          <w:lang w:eastAsia="zh-CN"/>
        </w:rPr>
        <w:t>Table A3</w:t>
      </w:r>
    </w:p>
    <w:p w14:paraId="5D99BA1E" w14:textId="77777777" w:rsidR="009907BA" w:rsidRPr="00803DAB" w:rsidRDefault="009907BA" w:rsidP="009907BA">
      <w:pPr>
        <w:pStyle w:val="16-tablecaption"/>
        <w:rPr>
          <w:color w:val="auto"/>
          <w:lang w:eastAsia="zh-CN"/>
        </w:rPr>
      </w:pPr>
      <w:r w:rsidRPr="00803DAB">
        <w:rPr>
          <w:color w:val="auto"/>
          <w:lang w:eastAsia="zh-CN"/>
        </w:rPr>
        <w:t>Peak strain of samples containing a single flaw.</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72"/>
        <w:gridCol w:w="487"/>
        <w:gridCol w:w="487"/>
        <w:gridCol w:w="487"/>
        <w:gridCol w:w="487"/>
        <w:gridCol w:w="488"/>
        <w:gridCol w:w="488"/>
        <w:gridCol w:w="492"/>
        <w:gridCol w:w="488"/>
        <w:gridCol w:w="488"/>
        <w:gridCol w:w="488"/>
        <w:gridCol w:w="488"/>
        <w:gridCol w:w="488"/>
        <w:gridCol w:w="488"/>
        <w:gridCol w:w="492"/>
        <w:gridCol w:w="1500"/>
      </w:tblGrid>
      <w:tr w:rsidR="009907BA" w:rsidRPr="00803DAB" w14:paraId="2346D188" w14:textId="77777777" w:rsidTr="00F87A29">
        <w:tc>
          <w:tcPr>
            <w:tcW w:w="433" w:type="pct"/>
            <w:vMerge w:val="restart"/>
            <w:tcBorders>
              <w:top w:val="single" w:sz="4" w:space="0" w:color="auto"/>
              <w:bottom w:val="single" w:sz="4" w:space="0" w:color="auto"/>
            </w:tcBorders>
            <w:vAlign w:val="center"/>
          </w:tcPr>
          <w:p w14:paraId="6D85F992" w14:textId="77777777" w:rsidR="009907BA" w:rsidRPr="00803DAB" w:rsidRDefault="009907BA" w:rsidP="00F87A29">
            <w:pPr>
              <w:pStyle w:val="17-tablecontent"/>
              <w:rPr>
                <w:color w:val="auto"/>
                <w:lang w:eastAsia="zh-CN"/>
              </w:rPr>
            </w:pPr>
            <w:r w:rsidRPr="00803DAB">
              <w:rPr>
                <w:color w:val="auto"/>
                <w:lang w:eastAsia="zh-CN"/>
              </w:rPr>
              <w:t>Material</w:t>
            </w:r>
          </w:p>
        </w:tc>
        <w:tc>
          <w:tcPr>
            <w:tcW w:w="294" w:type="pct"/>
            <w:vMerge w:val="restart"/>
            <w:tcBorders>
              <w:top w:val="single" w:sz="4" w:space="0" w:color="auto"/>
              <w:bottom w:val="single" w:sz="4" w:space="0" w:color="auto"/>
            </w:tcBorders>
            <w:vAlign w:val="center"/>
          </w:tcPr>
          <w:p w14:paraId="47C44CBA" w14:textId="77777777" w:rsidR="009907BA" w:rsidRPr="00803DAB" w:rsidRDefault="009907BA" w:rsidP="00F87A29">
            <w:pPr>
              <w:pStyle w:val="17-tablecontent"/>
              <w:rPr>
                <w:color w:val="auto"/>
                <w:lang w:eastAsia="zh-CN"/>
              </w:rPr>
            </w:pPr>
            <w:r w:rsidRPr="00803DAB">
              <w:rPr>
                <w:i/>
                <w:iCs/>
                <w:color w:val="auto"/>
                <w:lang w:eastAsia="zh-CN"/>
              </w:rPr>
              <w:sym w:font="Symbol" w:char="F065"/>
            </w:r>
            <w:r w:rsidRPr="00803DAB">
              <w:rPr>
                <w:color w:val="auto"/>
                <w:vertAlign w:val="subscript"/>
                <w:lang w:eastAsia="zh-CN"/>
              </w:rPr>
              <w:t>i</w:t>
            </w:r>
            <w:r w:rsidRPr="00803DAB">
              <w:rPr>
                <w:color w:val="auto"/>
                <w:lang w:eastAsia="zh-CN"/>
              </w:rPr>
              <w:t xml:space="preserve"> (%)</w:t>
            </w:r>
          </w:p>
        </w:tc>
        <w:tc>
          <w:tcPr>
            <w:tcW w:w="1752" w:type="pct"/>
            <w:gridSpan w:val="7"/>
            <w:tcBorders>
              <w:top w:val="single" w:sz="4" w:space="0" w:color="auto"/>
              <w:bottom w:val="single" w:sz="4" w:space="0" w:color="auto"/>
            </w:tcBorders>
            <w:vAlign w:val="center"/>
          </w:tcPr>
          <w:p w14:paraId="50C04A9E" w14:textId="77777777" w:rsidR="009907BA" w:rsidRPr="00803DAB" w:rsidRDefault="009907BA" w:rsidP="00F87A29">
            <w:pPr>
              <w:pStyle w:val="17-tablecontent"/>
              <w:rPr>
                <w:color w:val="auto"/>
                <w:lang w:eastAsia="zh-CN"/>
              </w:rPr>
            </w:pPr>
            <w:r w:rsidRPr="00803DAB">
              <w:rPr>
                <w:i/>
                <w:iCs/>
                <w:color w:val="auto"/>
                <w:lang w:eastAsia="zh-CN"/>
              </w:rPr>
              <w:sym w:font="Symbol" w:char="F065"/>
            </w:r>
            <w:r w:rsidRPr="00803DAB">
              <w:rPr>
                <w:color w:val="auto"/>
                <w:vertAlign w:val="subscript"/>
                <w:lang w:eastAsia="zh-CN"/>
              </w:rPr>
              <w:t>c</w:t>
            </w:r>
            <w:r w:rsidRPr="00803DAB">
              <w:rPr>
                <w:color w:val="auto"/>
                <w:lang w:eastAsia="zh-CN"/>
              </w:rPr>
              <w:t xml:space="preserve"> (%)</w:t>
            </w:r>
          </w:p>
        </w:tc>
        <w:tc>
          <w:tcPr>
            <w:tcW w:w="1752" w:type="pct"/>
            <w:gridSpan w:val="7"/>
            <w:tcBorders>
              <w:top w:val="single" w:sz="4" w:space="0" w:color="auto"/>
              <w:bottom w:val="single" w:sz="4" w:space="0" w:color="auto"/>
            </w:tcBorders>
            <w:vAlign w:val="center"/>
          </w:tcPr>
          <w:p w14:paraId="7BFB8170" w14:textId="77777777" w:rsidR="009907BA" w:rsidRPr="00803DAB" w:rsidRDefault="009907BA" w:rsidP="00F87A29">
            <w:pPr>
              <w:pStyle w:val="17-tablecontent"/>
              <w:rPr>
                <w:color w:val="auto"/>
                <w:lang w:eastAsia="zh-CN"/>
              </w:rPr>
            </w:pPr>
            <w:r w:rsidRPr="00803DAB">
              <w:rPr>
                <w:i/>
                <w:iCs/>
                <w:color w:val="auto"/>
                <w:lang w:eastAsia="zh-CN"/>
              </w:rPr>
              <w:sym w:font="Symbol" w:char="F065"/>
            </w:r>
            <w:r w:rsidRPr="00803DAB">
              <w:rPr>
                <w:color w:val="auto"/>
                <w:vertAlign w:val="subscript"/>
                <w:lang w:eastAsia="zh-CN"/>
              </w:rPr>
              <w:t>c</w:t>
            </w:r>
            <w:r w:rsidRPr="00803DAB">
              <w:rPr>
                <w:color w:val="auto"/>
                <w:lang w:eastAsia="zh-CN"/>
              </w:rPr>
              <w:t>/</w:t>
            </w:r>
            <w:r w:rsidRPr="00803DAB">
              <w:rPr>
                <w:i/>
                <w:iCs/>
                <w:color w:val="auto"/>
                <w:lang w:eastAsia="zh-CN"/>
              </w:rPr>
              <w:sym w:font="Symbol" w:char="F065"/>
            </w:r>
            <w:r w:rsidRPr="00803DAB">
              <w:rPr>
                <w:color w:val="auto"/>
                <w:vertAlign w:val="subscript"/>
                <w:lang w:eastAsia="zh-CN"/>
              </w:rPr>
              <w:t>i</w:t>
            </w:r>
          </w:p>
        </w:tc>
        <w:tc>
          <w:tcPr>
            <w:tcW w:w="770" w:type="pct"/>
            <w:vMerge w:val="restart"/>
            <w:tcBorders>
              <w:top w:val="single" w:sz="4" w:space="0" w:color="auto"/>
              <w:bottom w:val="single" w:sz="4" w:space="0" w:color="auto"/>
            </w:tcBorders>
            <w:vAlign w:val="center"/>
          </w:tcPr>
          <w:p w14:paraId="7AA1910E" w14:textId="77777777" w:rsidR="009907BA" w:rsidRPr="00803DAB" w:rsidRDefault="009907BA" w:rsidP="00F87A29">
            <w:pPr>
              <w:pStyle w:val="17-tablecontent"/>
              <w:rPr>
                <w:color w:val="auto"/>
                <w:lang w:eastAsia="zh-CN"/>
              </w:rPr>
            </w:pPr>
            <w:r w:rsidRPr="00803DAB">
              <w:rPr>
                <w:color w:val="auto"/>
                <w:lang w:eastAsia="zh-CN"/>
              </w:rPr>
              <w:t>Source</w:t>
            </w:r>
          </w:p>
        </w:tc>
      </w:tr>
      <w:tr w:rsidR="009907BA" w:rsidRPr="00803DAB" w14:paraId="761E3AFA" w14:textId="77777777" w:rsidTr="00F87A29">
        <w:tc>
          <w:tcPr>
            <w:tcW w:w="433" w:type="pct"/>
            <w:vMerge/>
            <w:tcBorders>
              <w:top w:val="nil"/>
              <w:bottom w:val="single" w:sz="4" w:space="0" w:color="auto"/>
            </w:tcBorders>
            <w:vAlign w:val="center"/>
          </w:tcPr>
          <w:p w14:paraId="6EE1033A" w14:textId="77777777" w:rsidR="009907BA" w:rsidRPr="00803DAB" w:rsidRDefault="009907BA" w:rsidP="00F87A29">
            <w:pPr>
              <w:pStyle w:val="17-tablecontent"/>
              <w:rPr>
                <w:color w:val="auto"/>
                <w:lang w:eastAsia="zh-CN"/>
              </w:rPr>
            </w:pPr>
          </w:p>
        </w:tc>
        <w:tc>
          <w:tcPr>
            <w:tcW w:w="294" w:type="pct"/>
            <w:vMerge/>
            <w:tcBorders>
              <w:top w:val="nil"/>
              <w:bottom w:val="single" w:sz="4" w:space="0" w:color="auto"/>
            </w:tcBorders>
            <w:vAlign w:val="center"/>
          </w:tcPr>
          <w:p w14:paraId="4945CA72" w14:textId="77777777" w:rsidR="009907BA" w:rsidRPr="00803DAB" w:rsidRDefault="009907BA" w:rsidP="00F87A29">
            <w:pPr>
              <w:pStyle w:val="17-tablecontent"/>
              <w:rPr>
                <w:color w:val="auto"/>
                <w:lang w:eastAsia="zh-CN"/>
              </w:rPr>
            </w:pPr>
          </w:p>
        </w:tc>
        <w:tc>
          <w:tcPr>
            <w:tcW w:w="250" w:type="pct"/>
            <w:tcBorders>
              <w:top w:val="single" w:sz="4" w:space="0" w:color="auto"/>
              <w:bottom w:val="single" w:sz="4" w:space="0" w:color="auto"/>
            </w:tcBorders>
            <w:vAlign w:val="center"/>
          </w:tcPr>
          <w:p w14:paraId="1574535B" w14:textId="77777777" w:rsidR="009907BA" w:rsidRPr="00803DAB" w:rsidRDefault="009907BA" w:rsidP="00F87A29">
            <w:pPr>
              <w:pStyle w:val="17-tablecontent"/>
              <w:rPr>
                <w:color w:val="auto"/>
                <w:lang w:eastAsia="zh-CN"/>
              </w:rPr>
            </w:pPr>
            <w:r w:rsidRPr="00803DAB">
              <w:rPr>
                <w:color w:val="auto"/>
                <w:lang w:eastAsia="zh-CN"/>
              </w:rPr>
              <w:t>0°</w:t>
            </w:r>
          </w:p>
        </w:tc>
        <w:tc>
          <w:tcPr>
            <w:tcW w:w="250" w:type="pct"/>
            <w:tcBorders>
              <w:top w:val="single" w:sz="4" w:space="0" w:color="auto"/>
              <w:bottom w:val="single" w:sz="4" w:space="0" w:color="auto"/>
            </w:tcBorders>
            <w:vAlign w:val="center"/>
          </w:tcPr>
          <w:p w14:paraId="2AAE78AA" w14:textId="77777777" w:rsidR="009907BA" w:rsidRPr="00803DAB" w:rsidRDefault="009907BA" w:rsidP="00F87A29">
            <w:pPr>
              <w:pStyle w:val="17-tablecontent"/>
              <w:rPr>
                <w:color w:val="auto"/>
                <w:lang w:eastAsia="zh-CN"/>
              </w:rPr>
            </w:pPr>
            <w:r w:rsidRPr="00803DAB">
              <w:rPr>
                <w:color w:val="auto"/>
                <w:lang w:eastAsia="zh-CN"/>
              </w:rPr>
              <w:t>15°</w:t>
            </w:r>
          </w:p>
        </w:tc>
        <w:tc>
          <w:tcPr>
            <w:tcW w:w="250" w:type="pct"/>
            <w:tcBorders>
              <w:top w:val="single" w:sz="4" w:space="0" w:color="auto"/>
              <w:bottom w:val="single" w:sz="4" w:space="0" w:color="auto"/>
            </w:tcBorders>
            <w:vAlign w:val="center"/>
          </w:tcPr>
          <w:p w14:paraId="0257EADA" w14:textId="77777777" w:rsidR="009907BA" w:rsidRPr="00803DAB" w:rsidRDefault="009907BA" w:rsidP="00F87A29">
            <w:pPr>
              <w:pStyle w:val="17-tablecontent"/>
              <w:rPr>
                <w:color w:val="auto"/>
                <w:lang w:eastAsia="zh-CN"/>
              </w:rPr>
            </w:pPr>
            <w:r w:rsidRPr="00803DAB">
              <w:rPr>
                <w:color w:val="auto"/>
                <w:lang w:eastAsia="zh-CN"/>
              </w:rPr>
              <w:t>30°</w:t>
            </w:r>
          </w:p>
        </w:tc>
        <w:tc>
          <w:tcPr>
            <w:tcW w:w="250" w:type="pct"/>
            <w:tcBorders>
              <w:top w:val="single" w:sz="4" w:space="0" w:color="auto"/>
              <w:bottom w:val="single" w:sz="4" w:space="0" w:color="auto"/>
            </w:tcBorders>
            <w:vAlign w:val="center"/>
          </w:tcPr>
          <w:p w14:paraId="01D95F8D" w14:textId="77777777" w:rsidR="009907BA" w:rsidRPr="00803DAB" w:rsidRDefault="009907BA" w:rsidP="00F87A29">
            <w:pPr>
              <w:pStyle w:val="17-tablecontent"/>
              <w:rPr>
                <w:color w:val="auto"/>
                <w:lang w:eastAsia="zh-CN"/>
              </w:rPr>
            </w:pPr>
            <w:r w:rsidRPr="00803DAB">
              <w:rPr>
                <w:color w:val="auto"/>
                <w:lang w:eastAsia="zh-CN"/>
              </w:rPr>
              <w:t>45°</w:t>
            </w:r>
          </w:p>
        </w:tc>
        <w:tc>
          <w:tcPr>
            <w:tcW w:w="250" w:type="pct"/>
            <w:tcBorders>
              <w:top w:val="single" w:sz="4" w:space="0" w:color="auto"/>
              <w:bottom w:val="single" w:sz="4" w:space="0" w:color="auto"/>
            </w:tcBorders>
            <w:vAlign w:val="center"/>
          </w:tcPr>
          <w:p w14:paraId="0B335A1A" w14:textId="77777777" w:rsidR="009907BA" w:rsidRPr="00803DAB" w:rsidRDefault="009907BA" w:rsidP="00F87A29">
            <w:pPr>
              <w:pStyle w:val="17-tablecontent"/>
              <w:rPr>
                <w:color w:val="auto"/>
                <w:lang w:eastAsia="zh-CN"/>
              </w:rPr>
            </w:pPr>
            <w:r w:rsidRPr="00803DAB">
              <w:rPr>
                <w:color w:val="auto"/>
                <w:lang w:eastAsia="zh-CN"/>
              </w:rPr>
              <w:t>60°</w:t>
            </w:r>
          </w:p>
        </w:tc>
        <w:tc>
          <w:tcPr>
            <w:tcW w:w="250" w:type="pct"/>
            <w:tcBorders>
              <w:top w:val="single" w:sz="4" w:space="0" w:color="auto"/>
              <w:bottom w:val="single" w:sz="4" w:space="0" w:color="auto"/>
            </w:tcBorders>
            <w:vAlign w:val="center"/>
          </w:tcPr>
          <w:p w14:paraId="4C14528F" w14:textId="77777777" w:rsidR="009907BA" w:rsidRPr="00803DAB" w:rsidRDefault="009907BA" w:rsidP="00F87A29">
            <w:pPr>
              <w:pStyle w:val="17-tablecontent"/>
              <w:rPr>
                <w:color w:val="auto"/>
                <w:lang w:eastAsia="zh-CN"/>
              </w:rPr>
            </w:pPr>
            <w:r w:rsidRPr="00803DAB">
              <w:rPr>
                <w:color w:val="auto"/>
                <w:lang w:eastAsia="zh-CN"/>
              </w:rPr>
              <w:t>75°</w:t>
            </w:r>
          </w:p>
        </w:tc>
        <w:tc>
          <w:tcPr>
            <w:tcW w:w="250" w:type="pct"/>
            <w:tcBorders>
              <w:top w:val="single" w:sz="4" w:space="0" w:color="auto"/>
              <w:bottom w:val="single" w:sz="4" w:space="0" w:color="auto"/>
            </w:tcBorders>
            <w:vAlign w:val="center"/>
          </w:tcPr>
          <w:p w14:paraId="42B0163A" w14:textId="77777777" w:rsidR="009907BA" w:rsidRPr="00803DAB" w:rsidRDefault="009907BA" w:rsidP="00F87A29">
            <w:pPr>
              <w:pStyle w:val="17-tablecontent"/>
              <w:rPr>
                <w:color w:val="auto"/>
                <w:lang w:eastAsia="zh-CN"/>
              </w:rPr>
            </w:pPr>
            <w:r w:rsidRPr="00803DAB">
              <w:rPr>
                <w:color w:val="auto"/>
                <w:lang w:eastAsia="zh-CN"/>
              </w:rPr>
              <w:t>90°</w:t>
            </w:r>
          </w:p>
        </w:tc>
        <w:tc>
          <w:tcPr>
            <w:tcW w:w="250" w:type="pct"/>
            <w:tcBorders>
              <w:top w:val="single" w:sz="4" w:space="0" w:color="auto"/>
              <w:bottom w:val="single" w:sz="4" w:space="0" w:color="auto"/>
            </w:tcBorders>
            <w:vAlign w:val="center"/>
          </w:tcPr>
          <w:p w14:paraId="7851945F" w14:textId="77777777" w:rsidR="009907BA" w:rsidRPr="00803DAB" w:rsidRDefault="009907BA" w:rsidP="00F87A29">
            <w:pPr>
              <w:pStyle w:val="17-tablecontent"/>
              <w:rPr>
                <w:color w:val="auto"/>
                <w:lang w:eastAsia="zh-CN"/>
              </w:rPr>
            </w:pPr>
            <w:r w:rsidRPr="00803DAB">
              <w:rPr>
                <w:color w:val="auto"/>
                <w:lang w:eastAsia="zh-CN"/>
              </w:rPr>
              <w:t>0°</w:t>
            </w:r>
          </w:p>
        </w:tc>
        <w:tc>
          <w:tcPr>
            <w:tcW w:w="250" w:type="pct"/>
            <w:tcBorders>
              <w:top w:val="single" w:sz="4" w:space="0" w:color="auto"/>
              <w:bottom w:val="single" w:sz="4" w:space="0" w:color="auto"/>
            </w:tcBorders>
            <w:vAlign w:val="center"/>
          </w:tcPr>
          <w:p w14:paraId="6CB5F087" w14:textId="77777777" w:rsidR="009907BA" w:rsidRPr="00803DAB" w:rsidRDefault="009907BA" w:rsidP="00F87A29">
            <w:pPr>
              <w:pStyle w:val="17-tablecontent"/>
              <w:rPr>
                <w:color w:val="auto"/>
                <w:lang w:eastAsia="zh-CN"/>
              </w:rPr>
            </w:pPr>
            <w:r w:rsidRPr="00803DAB">
              <w:rPr>
                <w:color w:val="auto"/>
                <w:lang w:eastAsia="zh-CN"/>
              </w:rPr>
              <w:t>15°</w:t>
            </w:r>
          </w:p>
        </w:tc>
        <w:tc>
          <w:tcPr>
            <w:tcW w:w="250" w:type="pct"/>
            <w:tcBorders>
              <w:top w:val="single" w:sz="4" w:space="0" w:color="auto"/>
              <w:bottom w:val="single" w:sz="4" w:space="0" w:color="auto"/>
            </w:tcBorders>
            <w:vAlign w:val="center"/>
          </w:tcPr>
          <w:p w14:paraId="1AD95A2A" w14:textId="77777777" w:rsidR="009907BA" w:rsidRPr="00803DAB" w:rsidRDefault="009907BA" w:rsidP="00F87A29">
            <w:pPr>
              <w:pStyle w:val="17-tablecontent"/>
              <w:rPr>
                <w:color w:val="auto"/>
                <w:lang w:eastAsia="zh-CN"/>
              </w:rPr>
            </w:pPr>
            <w:r w:rsidRPr="00803DAB">
              <w:rPr>
                <w:color w:val="auto"/>
                <w:lang w:eastAsia="zh-CN"/>
              </w:rPr>
              <w:t>30°</w:t>
            </w:r>
          </w:p>
        </w:tc>
        <w:tc>
          <w:tcPr>
            <w:tcW w:w="250" w:type="pct"/>
            <w:tcBorders>
              <w:top w:val="single" w:sz="4" w:space="0" w:color="auto"/>
              <w:bottom w:val="single" w:sz="4" w:space="0" w:color="auto"/>
            </w:tcBorders>
            <w:vAlign w:val="center"/>
          </w:tcPr>
          <w:p w14:paraId="1F64BF1F" w14:textId="77777777" w:rsidR="009907BA" w:rsidRPr="00803DAB" w:rsidRDefault="009907BA" w:rsidP="00F87A29">
            <w:pPr>
              <w:pStyle w:val="17-tablecontent"/>
              <w:rPr>
                <w:color w:val="auto"/>
                <w:lang w:eastAsia="zh-CN"/>
              </w:rPr>
            </w:pPr>
            <w:r w:rsidRPr="00803DAB">
              <w:rPr>
                <w:color w:val="auto"/>
                <w:lang w:eastAsia="zh-CN"/>
              </w:rPr>
              <w:t>45°</w:t>
            </w:r>
          </w:p>
        </w:tc>
        <w:tc>
          <w:tcPr>
            <w:tcW w:w="250" w:type="pct"/>
            <w:tcBorders>
              <w:top w:val="single" w:sz="4" w:space="0" w:color="auto"/>
              <w:bottom w:val="single" w:sz="4" w:space="0" w:color="auto"/>
            </w:tcBorders>
            <w:vAlign w:val="center"/>
          </w:tcPr>
          <w:p w14:paraId="7704D523" w14:textId="77777777" w:rsidR="009907BA" w:rsidRPr="00803DAB" w:rsidRDefault="009907BA" w:rsidP="00F87A29">
            <w:pPr>
              <w:pStyle w:val="17-tablecontent"/>
              <w:rPr>
                <w:color w:val="auto"/>
                <w:lang w:eastAsia="zh-CN"/>
              </w:rPr>
            </w:pPr>
            <w:r w:rsidRPr="00803DAB">
              <w:rPr>
                <w:color w:val="auto"/>
                <w:lang w:eastAsia="zh-CN"/>
              </w:rPr>
              <w:t>60°</w:t>
            </w:r>
          </w:p>
        </w:tc>
        <w:tc>
          <w:tcPr>
            <w:tcW w:w="250" w:type="pct"/>
            <w:tcBorders>
              <w:top w:val="single" w:sz="4" w:space="0" w:color="auto"/>
              <w:bottom w:val="single" w:sz="4" w:space="0" w:color="auto"/>
            </w:tcBorders>
            <w:vAlign w:val="center"/>
          </w:tcPr>
          <w:p w14:paraId="0F71877E" w14:textId="77777777" w:rsidR="009907BA" w:rsidRPr="00803DAB" w:rsidRDefault="009907BA" w:rsidP="00F87A29">
            <w:pPr>
              <w:pStyle w:val="17-tablecontent"/>
              <w:rPr>
                <w:color w:val="auto"/>
                <w:lang w:eastAsia="zh-CN"/>
              </w:rPr>
            </w:pPr>
            <w:r w:rsidRPr="00803DAB">
              <w:rPr>
                <w:color w:val="auto"/>
                <w:lang w:eastAsia="zh-CN"/>
              </w:rPr>
              <w:t>75°</w:t>
            </w:r>
          </w:p>
        </w:tc>
        <w:tc>
          <w:tcPr>
            <w:tcW w:w="250" w:type="pct"/>
            <w:tcBorders>
              <w:top w:val="single" w:sz="4" w:space="0" w:color="auto"/>
              <w:bottom w:val="single" w:sz="4" w:space="0" w:color="auto"/>
            </w:tcBorders>
            <w:vAlign w:val="center"/>
          </w:tcPr>
          <w:p w14:paraId="1167B648" w14:textId="77777777" w:rsidR="009907BA" w:rsidRPr="00803DAB" w:rsidRDefault="009907BA" w:rsidP="00F87A29">
            <w:pPr>
              <w:pStyle w:val="17-tablecontent"/>
              <w:rPr>
                <w:color w:val="auto"/>
                <w:lang w:eastAsia="zh-CN"/>
              </w:rPr>
            </w:pPr>
            <w:r w:rsidRPr="00803DAB">
              <w:rPr>
                <w:color w:val="auto"/>
                <w:lang w:eastAsia="zh-CN"/>
              </w:rPr>
              <w:t>90°</w:t>
            </w:r>
          </w:p>
        </w:tc>
        <w:tc>
          <w:tcPr>
            <w:tcW w:w="770" w:type="pct"/>
            <w:vMerge/>
            <w:tcBorders>
              <w:top w:val="nil"/>
              <w:bottom w:val="single" w:sz="4" w:space="0" w:color="auto"/>
            </w:tcBorders>
            <w:vAlign w:val="center"/>
          </w:tcPr>
          <w:p w14:paraId="52C8A2E6" w14:textId="77777777" w:rsidR="009907BA" w:rsidRPr="00803DAB" w:rsidRDefault="009907BA" w:rsidP="00F87A29">
            <w:pPr>
              <w:pStyle w:val="17-tablecontent"/>
              <w:rPr>
                <w:color w:val="auto"/>
                <w:lang w:eastAsia="zh-CN"/>
              </w:rPr>
            </w:pPr>
          </w:p>
        </w:tc>
      </w:tr>
      <w:tr w:rsidR="009907BA" w:rsidRPr="00803DAB" w14:paraId="3F06F76D" w14:textId="77777777" w:rsidTr="00F87A29">
        <w:tc>
          <w:tcPr>
            <w:tcW w:w="433" w:type="pct"/>
            <w:tcBorders>
              <w:top w:val="single" w:sz="4" w:space="0" w:color="auto"/>
              <w:bottom w:val="nil"/>
            </w:tcBorders>
            <w:vAlign w:val="center"/>
          </w:tcPr>
          <w:p w14:paraId="00C97878" w14:textId="77777777" w:rsidR="009907BA" w:rsidRPr="00803DAB" w:rsidRDefault="009907BA" w:rsidP="00F87A29">
            <w:pPr>
              <w:pStyle w:val="17-tablecontent"/>
              <w:rPr>
                <w:color w:val="auto"/>
                <w:lang w:eastAsia="zh-CN"/>
              </w:rPr>
            </w:pPr>
            <w:r w:rsidRPr="00803DAB">
              <w:rPr>
                <w:color w:val="auto"/>
                <w:lang w:eastAsia="zh-CN"/>
              </w:rPr>
              <w:t>Sandstone</w:t>
            </w:r>
          </w:p>
        </w:tc>
        <w:tc>
          <w:tcPr>
            <w:tcW w:w="294" w:type="pct"/>
            <w:tcBorders>
              <w:top w:val="single" w:sz="4" w:space="0" w:color="auto"/>
              <w:bottom w:val="nil"/>
            </w:tcBorders>
            <w:vAlign w:val="center"/>
          </w:tcPr>
          <w:p w14:paraId="4C1F3995" w14:textId="77777777" w:rsidR="009907BA" w:rsidRPr="00803DAB" w:rsidRDefault="009907BA" w:rsidP="00F87A29">
            <w:pPr>
              <w:pStyle w:val="17-tablecontent"/>
              <w:rPr>
                <w:color w:val="auto"/>
                <w:lang w:eastAsia="zh-CN"/>
              </w:rPr>
            </w:pPr>
            <w:r w:rsidRPr="00803DAB">
              <w:rPr>
                <w:color w:val="auto"/>
                <w:lang w:eastAsia="zh-CN"/>
              </w:rPr>
              <w:t>1.17</w:t>
            </w:r>
          </w:p>
        </w:tc>
        <w:tc>
          <w:tcPr>
            <w:tcW w:w="250" w:type="pct"/>
            <w:tcBorders>
              <w:top w:val="single" w:sz="4" w:space="0" w:color="auto"/>
              <w:bottom w:val="nil"/>
            </w:tcBorders>
            <w:vAlign w:val="center"/>
          </w:tcPr>
          <w:p w14:paraId="64F0E67D" w14:textId="77777777" w:rsidR="009907BA" w:rsidRPr="00803DAB" w:rsidRDefault="009907BA" w:rsidP="00F87A29">
            <w:pPr>
              <w:pStyle w:val="17-tablecontent"/>
              <w:rPr>
                <w:color w:val="auto"/>
                <w:lang w:eastAsia="zh-CN"/>
              </w:rPr>
            </w:pPr>
          </w:p>
        </w:tc>
        <w:tc>
          <w:tcPr>
            <w:tcW w:w="250" w:type="pct"/>
            <w:tcBorders>
              <w:top w:val="single" w:sz="4" w:space="0" w:color="auto"/>
              <w:bottom w:val="nil"/>
            </w:tcBorders>
            <w:vAlign w:val="center"/>
          </w:tcPr>
          <w:p w14:paraId="08C73B28" w14:textId="77777777" w:rsidR="009907BA" w:rsidRPr="00803DAB" w:rsidRDefault="009907BA" w:rsidP="00F87A29">
            <w:pPr>
              <w:pStyle w:val="17-tablecontent"/>
              <w:rPr>
                <w:color w:val="auto"/>
                <w:lang w:eastAsia="zh-CN"/>
              </w:rPr>
            </w:pPr>
            <w:r w:rsidRPr="00803DAB">
              <w:rPr>
                <w:color w:val="auto"/>
                <w:lang w:eastAsia="zh-CN"/>
              </w:rPr>
              <w:t>1.02</w:t>
            </w:r>
          </w:p>
        </w:tc>
        <w:tc>
          <w:tcPr>
            <w:tcW w:w="250" w:type="pct"/>
            <w:tcBorders>
              <w:top w:val="single" w:sz="4" w:space="0" w:color="auto"/>
              <w:bottom w:val="nil"/>
            </w:tcBorders>
            <w:vAlign w:val="center"/>
          </w:tcPr>
          <w:p w14:paraId="5E3516AA" w14:textId="77777777" w:rsidR="009907BA" w:rsidRPr="00803DAB" w:rsidRDefault="009907BA" w:rsidP="00F87A29">
            <w:pPr>
              <w:pStyle w:val="17-tablecontent"/>
              <w:rPr>
                <w:color w:val="auto"/>
                <w:lang w:eastAsia="zh-CN"/>
              </w:rPr>
            </w:pPr>
            <w:r w:rsidRPr="00803DAB">
              <w:rPr>
                <w:color w:val="auto"/>
                <w:lang w:eastAsia="zh-CN"/>
              </w:rPr>
              <w:t>1.07</w:t>
            </w:r>
          </w:p>
        </w:tc>
        <w:tc>
          <w:tcPr>
            <w:tcW w:w="250" w:type="pct"/>
            <w:tcBorders>
              <w:top w:val="single" w:sz="4" w:space="0" w:color="auto"/>
              <w:bottom w:val="nil"/>
            </w:tcBorders>
            <w:vAlign w:val="center"/>
          </w:tcPr>
          <w:p w14:paraId="35B36D3F" w14:textId="77777777" w:rsidR="009907BA" w:rsidRPr="00803DAB" w:rsidRDefault="009907BA" w:rsidP="00F87A29">
            <w:pPr>
              <w:pStyle w:val="17-tablecontent"/>
              <w:rPr>
                <w:color w:val="auto"/>
                <w:lang w:eastAsia="zh-CN"/>
              </w:rPr>
            </w:pPr>
            <w:r w:rsidRPr="00803DAB">
              <w:rPr>
                <w:color w:val="auto"/>
                <w:lang w:eastAsia="zh-CN"/>
              </w:rPr>
              <w:t>1.05</w:t>
            </w:r>
          </w:p>
        </w:tc>
        <w:tc>
          <w:tcPr>
            <w:tcW w:w="250" w:type="pct"/>
            <w:tcBorders>
              <w:top w:val="single" w:sz="4" w:space="0" w:color="auto"/>
              <w:bottom w:val="nil"/>
            </w:tcBorders>
            <w:vAlign w:val="center"/>
          </w:tcPr>
          <w:p w14:paraId="3F72DC88" w14:textId="77777777" w:rsidR="009907BA" w:rsidRPr="00803DAB" w:rsidRDefault="009907BA" w:rsidP="00F87A29">
            <w:pPr>
              <w:pStyle w:val="17-tablecontent"/>
              <w:rPr>
                <w:color w:val="auto"/>
                <w:lang w:eastAsia="zh-CN"/>
              </w:rPr>
            </w:pPr>
            <w:r w:rsidRPr="00803DAB">
              <w:rPr>
                <w:color w:val="auto"/>
                <w:lang w:eastAsia="zh-CN"/>
              </w:rPr>
              <w:t>1.01</w:t>
            </w:r>
          </w:p>
        </w:tc>
        <w:tc>
          <w:tcPr>
            <w:tcW w:w="250" w:type="pct"/>
            <w:tcBorders>
              <w:top w:val="single" w:sz="4" w:space="0" w:color="auto"/>
              <w:bottom w:val="nil"/>
            </w:tcBorders>
            <w:vAlign w:val="center"/>
          </w:tcPr>
          <w:p w14:paraId="348334A9" w14:textId="77777777" w:rsidR="009907BA" w:rsidRPr="00803DAB" w:rsidRDefault="009907BA" w:rsidP="00F87A29">
            <w:pPr>
              <w:pStyle w:val="17-tablecontent"/>
              <w:rPr>
                <w:color w:val="auto"/>
                <w:lang w:eastAsia="zh-CN"/>
              </w:rPr>
            </w:pPr>
            <w:r w:rsidRPr="00803DAB">
              <w:rPr>
                <w:color w:val="auto"/>
                <w:lang w:eastAsia="zh-CN"/>
              </w:rPr>
              <w:t>1.08</w:t>
            </w:r>
          </w:p>
        </w:tc>
        <w:tc>
          <w:tcPr>
            <w:tcW w:w="250" w:type="pct"/>
            <w:tcBorders>
              <w:top w:val="single" w:sz="4" w:space="0" w:color="auto"/>
              <w:bottom w:val="nil"/>
            </w:tcBorders>
            <w:vAlign w:val="center"/>
          </w:tcPr>
          <w:p w14:paraId="2887F669" w14:textId="77777777" w:rsidR="009907BA" w:rsidRPr="00803DAB" w:rsidRDefault="009907BA" w:rsidP="00F87A29">
            <w:pPr>
              <w:pStyle w:val="17-tablecontent"/>
              <w:rPr>
                <w:color w:val="auto"/>
                <w:lang w:eastAsia="zh-CN"/>
              </w:rPr>
            </w:pPr>
          </w:p>
        </w:tc>
        <w:tc>
          <w:tcPr>
            <w:tcW w:w="250" w:type="pct"/>
            <w:tcBorders>
              <w:top w:val="single" w:sz="4" w:space="0" w:color="auto"/>
              <w:bottom w:val="nil"/>
            </w:tcBorders>
            <w:vAlign w:val="center"/>
          </w:tcPr>
          <w:p w14:paraId="0304EAC5" w14:textId="77777777" w:rsidR="009907BA" w:rsidRPr="00803DAB" w:rsidRDefault="009907BA" w:rsidP="00F87A29">
            <w:pPr>
              <w:pStyle w:val="17-tablecontent"/>
              <w:rPr>
                <w:color w:val="auto"/>
                <w:lang w:eastAsia="zh-CN"/>
              </w:rPr>
            </w:pPr>
          </w:p>
        </w:tc>
        <w:tc>
          <w:tcPr>
            <w:tcW w:w="250" w:type="pct"/>
            <w:tcBorders>
              <w:top w:val="single" w:sz="4" w:space="0" w:color="auto"/>
              <w:left w:val="nil"/>
              <w:bottom w:val="nil"/>
              <w:right w:val="nil"/>
            </w:tcBorders>
            <w:shd w:val="clear" w:color="auto" w:fill="auto"/>
            <w:vAlign w:val="center"/>
          </w:tcPr>
          <w:p w14:paraId="6EAF4C20" w14:textId="77777777" w:rsidR="009907BA" w:rsidRPr="00803DAB" w:rsidRDefault="009907BA" w:rsidP="00F87A29">
            <w:pPr>
              <w:pStyle w:val="17-tablecontent"/>
              <w:rPr>
                <w:color w:val="auto"/>
                <w:lang w:eastAsia="zh-CN"/>
              </w:rPr>
            </w:pPr>
            <w:r w:rsidRPr="00803DAB">
              <w:rPr>
                <w:color w:val="auto"/>
                <w:lang w:eastAsia="zh-CN"/>
              </w:rPr>
              <w:t xml:space="preserve">0.87 </w:t>
            </w:r>
          </w:p>
        </w:tc>
        <w:tc>
          <w:tcPr>
            <w:tcW w:w="250" w:type="pct"/>
            <w:tcBorders>
              <w:top w:val="single" w:sz="4" w:space="0" w:color="auto"/>
              <w:left w:val="nil"/>
              <w:bottom w:val="nil"/>
              <w:right w:val="nil"/>
            </w:tcBorders>
            <w:shd w:val="clear" w:color="auto" w:fill="auto"/>
            <w:vAlign w:val="center"/>
          </w:tcPr>
          <w:p w14:paraId="5608492F" w14:textId="77777777" w:rsidR="009907BA" w:rsidRPr="00803DAB" w:rsidRDefault="009907BA" w:rsidP="00F87A29">
            <w:pPr>
              <w:pStyle w:val="17-tablecontent"/>
              <w:rPr>
                <w:color w:val="auto"/>
                <w:lang w:eastAsia="zh-CN"/>
              </w:rPr>
            </w:pPr>
            <w:r w:rsidRPr="00803DAB">
              <w:rPr>
                <w:color w:val="auto"/>
                <w:lang w:eastAsia="zh-CN"/>
              </w:rPr>
              <w:t xml:space="preserve">0.91 </w:t>
            </w:r>
          </w:p>
        </w:tc>
        <w:tc>
          <w:tcPr>
            <w:tcW w:w="250" w:type="pct"/>
            <w:tcBorders>
              <w:top w:val="single" w:sz="4" w:space="0" w:color="auto"/>
              <w:left w:val="nil"/>
              <w:bottom w:val="nil"/>
              <w:right w:val="nil"/>
            </w:tcBorders>
            <w:shd w:val="clear" w:color="auto" w:fill="auto"/>
            <w:vAlign w:val="center"/>
          </w:tcPr>
          <w:p w14:paraId="16EC6DAA" w14:textId="77777777" w:rsidR="009907BA" w:rsidRPr="00803DAB" w:rsidRDefault="009907BA" w:rsidP="00F87A29">
            <w:pPr>
              <w:pStyle w:val="17-tablecontent"/>
              <w:rPr>
                <w:color w:val="auto"/>
                <w:lang w:eastAsia="zh-CN"/>
              </w:rPr>
            </w:pPr>
            <w:r w:rsidRPr="00803DAB">
              <w:rPr>
                <w:color w:val="auto"/>
                <w:lang w:eastAsia="zh-CN"/>
              </w:rPr>
              <w:t>0.9</w:t>
            </w:r>
          </w:p>
        </w:tc>
        <w:tc>
          <w:tcPr>
            <w:tcW w:w="250" w:type="pct"/>
            <w:tcBorders>
              <w:top w:val="single" w:sz="4" w:space="0" w:color="auto"/>
              <w:left w:val="nil"/>
              <w:bottom w:val="nil"/>
              <w:right w:val="nil"/>
            </w:tcBorders>
            <w:shd w:val="clear" w:color="auto" w:fill="auto"/>
            <w:vAlign w:val="center"/>
          </w:tcPr>
          <w:p w14:paraId="0737C138"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50" w:type="pct"/>
            <w:tcBorders>
              <w:top w:val="single" w:sz="4" w:space="0" w:color="auto"/>
              <w:left w:val="nil"/>
              <w:bottom w:val="nil"/>
              <w:right w:val="nil"/>
            </w:tcBorders>
            <w:shd w:val="clear" w:color="auto" w:fill="auto"/>
            <w:vAlign w:val="center"/>
          </w:tcPr>
          <w:p w14:paraId="00FC2623" w14:textId="77777777" w:rsidR="009907BA" w:rsidRPr="00803DAB" w:rsidRDefault="009907BA" w:rsidP="00F87A29">
            <w:pPr>
              <w:pStyle w:val="17-tablecontent"/>
              <w:rPr>
                <w:color w:val="auto"/>
                <w:lang w:eastAsia="zh-CN"/>
              </w:rPr>
            </w:pPr>
            <w:r w:rsidRPr="00803DAB">
              <w:rPr>
                <w:color w:val="auto"/>
                <w:lang w:eastAsia="zh-CN"/>
              </w:rPr>
              <w:t xml:space="preserve">0.92 </w:t>
            </w:r>
          </w:p>
        </w:tc>
        <w:tc>
          <w:tcPr>
            <w:tcW w:w="250" w:type="pct"/>
            <w:tcBorders>
              <w:top w:val="single" w:sz="4" w:space="0" w:color="auto"/>
              <w:bottom w:val="nil"/>
            </w:tcBorders>
            <w:vAlign w:val="center"/>
          </w:tcPr>
          <w:p w14:paraId="644FC74F" w14:textId="77777777" w:rsidR="009907BA" w:rsidRPr="00803DAB" w:rsidRDefault="009907BA" w:rsidP="00F87A29">
            <w:pPr>
              <w:pStyle w:val="17-tablecontent"/>
              <w:rPr>
                <w:color w:val="auto"/>
                <w:lang w:eastAsia="zh-CN"/>
              </w:rPr>
            </w:pPr>
          </w:p>
        </w:tc>
        <w:tc>
          <w:tcPr>
            <w:tcW w:w="770" w:type="pct"/>
            <w:tcBorders>
              <w:top w:val="single" w:sz="4" w:space="0" w:color="auto"/>
              <w:bottom w:val="nil"/>
            </w:tcBorders>
            <w:vAlign w:val="center"/>
          </w:tcPr>
          <w:p w14:paraId="639DFD30" w14:textId="25FF0413"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{"citationItems":[{"id":"ITEM-1","itemData":{"DOI":"10.1007/s00024-019-02201-8","ISSN":"14209136","abstract":"To better understand the basic properties and phenomena of compression failure in rock mass structures, a series of uniaxial compression tests on sandstone specimens was carried out using loading equipment, an acoustic emission system, a computed tomography scanning system and a high-speed video camera. The results showed that the fracture process of sandstone samples was divided into three stages: original micro-crack closure, micro-crack nucleation and macro-crack propagation. Avalanche energies of the intact and single-fissured specimens followed a power-law distribution, which revealed avalanche criticality. The optimal exponents (r) of single-fissured specimens were about 1.64 and were slightly lower than that of the intact specimen. The fitted power-law exponents (r</w:instrText>
            </w:r>
            <w:r w:rsidR="0087279A">
              <w:rPr>
                <w:rFonts w:hint="eastAsia"/>
                <w:color w:val="auto"/>
                <w:lang w:eastAsia="zh-CN"/>
              </w:rPr>
              <w:instrText>′</w:instrText>
            </w:r>
            <w:r w:rsidR="0087279A">
              <w:rPr>
                <w:color w:val="auto"/>
                <w:lang w:eastAsia="zh-CN"/>
              </w:rPr>
              <w:instrText>) of sandstone specimens change in the different stages of experiments and gradually tend to a stable value, which acted as a “warning signal” for the impending major collapse. Based on histogram analysis and the maximum likelihood method, the presence of a flaw may affect the statistical properties of avalanche energies. The flaw inclination angle had little influence on the optimal exponent, but it had certain influence on the fracture modes of the specimens. This paper may provide a new theoretical basis for predicting the collapse failure of engineering rock mass structures.","author":[{"dropping-particle":"","family":"Li","given":"Shujian","non-dropping-particle":"","parse-names":false,"suffix":""},{"dropping-particle":"","family":"Zhang","given":"Dongming","non-dropping-particle":"","parse-names":false,"suffix":""},{"dropping-particle":"","family":"Bai","given":"Xin","non-dropping-particle":"","parse-names":false,"suffix":""},{"dropping-particle":"","family":"Zhang","given":"Xianmeng","non-dropping-particle":"","parse-names":false,"suffix":""},{"dropping-particle":"","family":"Chu","given":"Yapei","non-dropping-particle":"","parse-names":false,"suffix":""},{"dropping-particle":"","family":"Guo","given":"Kunyong","non-dropping-particle":"","parse-names":false,"suffix":""}],"container-title":"Pure and Applied Geophysics","id":"ITEM-1","issue":"10","issued":{"date-parts":[["2019"]]},"page":"4519-4532","title":"Experimental Study on Mechanical Properties, Acoustic Emission Energies and Failure Modes of Pre-cracked Rock Materials under Uniaxial Compression","type":"article-journal","volume":"176"},"uris":["http://www.mendeley.com/documents/?uuid=d9a0b485-a6be-4de2-bef9-b66fa598e40c"]}],"mendeley":{"formattedCitation":"(Li et al., 2019b)","manualFormatting":"Li et al. (2019","plainTextFormattedCitation":"(Li et al., 2019b)","previouslyFormattedCitation":"(Li et al. 2019b)"},"properties":{"noteIndex":0},"schema":"https://github.com/citation-style-language/schema/raw/master/csl-citation.json"}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Li et al. (2019</w:t>
            </w:r>
            <w:r w:rsidRPr="00803DAB">
              <w:rPr>
                <w:color w:val="auto"/>
                <w:lang w:eastAsia="zh-CN"/>
              </w:rPr>
              <w:fldChar w:fldCharType="end"/>
            </w:r>
            <w:r w:rsidR="00131190">
              <w:rPr>
                <w:color w:val="auto"/>
                <w:lang w:eastAsia="zh-CN"/>
              </w:rPr>
              <w:t>b</w:t>
            </w:r>
            <w:r w:rsidRPr="00803DAB">
              <w:rPr>
                <w:color w:val="auto"/>
                <w:lang w:eastAsia="zh-CN"/>
              </w:rPr>
              <w:t>)</w:t>
            </w:r>
          </w:p>
        </w:tc>
      </w:tr>
      <w:tr w:rsidR="009907BA" w:rsidRPr="00803DAB" w14:paraId="45C4D599" w14:textId="77777777" w:rsidTr="00F87A29">
        <w:tc>
          <w:tcPr>
            <w:tcW w:w="433" w:type="pct"/>
            <w:tcBorders>
              <w:top w:val="nil"/>
            </w:tcBorders>
            <w:vAlign w:val="center"/>
          </w:tcPr>
          <w:p w14:paraId="094ED409" w14:textId="77777777" w:rsidR="009907BA" w:rsidRPr="00803DAB" w:rsidRDefault="009907BA" w:rsidP="00F87A29">
            <w:pPr>
              <w:pStyle w:val="17-tablecontent"/>
              <w:rPr>
                <w:color w:val="auto"/>
                <w:lang w:eastAsia="zh-CN"/>
              </w:rPr>
            </w:pPr>
            <w:r w:rsidRPr="00803DAB">
              <w:rPr>
                <w:color w:val="auto"/>
                <w:lang w:eastAsia="zh-CN"/>
              </w:rPr>
              <w:t>Sandstone</w:t>
            </w:r>
          </w:p>
        </w:tc>
        <w:tc>
          <w:tcPr>
            <w:tcW w:w="294" w:type="pct"/>
            <w:tcBorders>
              <w:top w:val="nil"/>
            </w:tcBorders>
            <w:vAlign w:val="center"/>
          </w:tcPr>
          <w:p w14:paraId="30292307" w14:textId="77777777" w:rsidR="009907BA" w:rsidRPr="00803DAB" w:rsidRDefault="009907BA" w:rsidP="00F87A29">
            <w:pPr>
              <w:pStyle w:val="17-tablecontent"/>
              <w:rPr>
                <w:color w:val="auto"/>
                <w:lang w:eastAsia="zh-CN"/>
              </w:rPr>
            </w:pPr>
            <w:r w:rsidRPr="00803DAB">
              <w:rPr>
                <w:color w:val="auto"/>
                <w:lang w:eastAsia="zh-CN"/>
              </w:rPr>
              <w:t>0.75</w:t>
            </w:r>
          </w:p>
        </w:tc>
        <w:tc>
          <w:tcPr>
            <w:tcW w:w="250" w:type="pct"/>
            <w:tcBorders>
              <w:top w:val="nil"/>
            </w:tcBorders>
            <w:shd w:val="clear" w:color="auto" w:fill="auto"/>
            <w:vAlign w:val="center"/>
          </w:tcPr>
          <w:p w14:paraId="3531A181" w14:textId="77777777" w:rsidR="009907BA" w:rsidRPr="00803DAB" w:rsidRDefault="009907BA" w:rsidP="00F87A29">
            <w:pPr>
              <w:pStyle w:val="17-tablecontent"/>
              <w:rPr>
                <w:color w:val="auto"/>
                <w:lang w:eastAsia="zh-CN"/>
              </w:rPr>
            </w:pPr>
          </w:p>
        </w:tc>
        <w:tc>
          <w:tcPr>
            <w:tcW w:w="250" w:type="pct"/>
            <w:tcBorders>
              <w:top w:val="nil"/>
              <w:left w:val="nil"/>
              <w:bottom w:val="nil"/>
              <w:right w:val="nil"/>
            </w:tcBorders>
            <w:shd w:val="clear" w:color="auto" w:fill="auto"/>
            <w:vAlign w:val="center"/>
          </w:tcPr>
          <w:p w14:paraId="4C0DA329" w14:textId="77777777" w:rsidR="009907BA" w:rsidRPr="00803DAB" w:rsidRDefault="009907BA" w:rsidP="00F87A29">
            <w:pPr>
              <w:pStyle w:val="17-tablecontent"/>
              <w:rPr>
                <w:color w:val="auto"/>
                <w:lang w:eastAsia="zh-CN"/>
              </w:rPr>
            </w:pPr>
            <w:r w:rsidRPr="00803DAB">
              <w:rPr>
                <w:color w:val="auto"/>
                <w:lang w:eastAsia="zh-CN"/>
              </w:rPr>
              <w:t>0.57</w:t>
            </w:r>
          </w:p>
        </w:tc>
        <w:tc>
          <w:tcPr>
            <w:tcW w:w="250" w:type="pct"/>
            <w:tcBorders>
              <w:top w:val="nil"/>
              <w:left w:val="nil"/>
              <w:bottom w:val="nil"/>
              <w:right w:val="nil"/>
            </w:tcBorders>
            <w:shd w:val="clear" w:color="auto" w:fill="auto"/>
            <w:vAlign w:val="center"/>
          </w:tcPr>
          <w:p w14:paraId="423938CE" w14:textId="77777777" w:rsidR="009907BA" w:rsidRPr="00803DAB" w:rsidRDefault="009907BA" w:rsidP="00F87A29">
            <w:pPr>
              <w:pStyle w:val="17-tablecontent"/>
              <w:rPr>
                <w:color w:val="auto"/>
                <w:lang w:eastAsia="zh-CN"/>
              </w:rPr>
            </w:pPr>
          </w:p>
        </w:tc>
        <w:tc>
          <w:tcPr>
            <w:tcW w:w="250" w:type="pct"/>
            <w:tcBorders>
              <w:top w:val="nil"/>
              <w:left w:val="nil"/>
              <w:bottom w:val="nil"/>
              <w:right w:val="nil"/>
            </w:tcBorders>
            <w:shd w:val="clear" w:color="auto" w:fill="auto"/>
            <w:vAlign w:val="center"/>
          </w:tcPr>
          <w:p w14:paraId="284519AB" w14:textId="77777777" w:rsidR="009907BA" w:rsidRPr="00803DAB" w:rsidRDefault="009907BA" w:rsidP="00F87A29">
            <w:pPr>
              <w:pStyle w:val="17-tablecontent"/>
              <w:rPr>
                <w:color w:val="auto"/>
                <w:lang w:eastAsia="zh-CN"/>
              </w:rPr>
            </w:pPr>
            <w:r w:rsidRPr="00803DAB">
              <w:rPr>
                <w:color w:val="auto"/>
                <w:lang w:eastAsia="zh-CN"/>
              </w:rPr>
              <w:t>0.48</w:t>
            </w:r>
          </w:p>
        </w:tc>
        <w:tc>
          <w:tcPr>
            <w:tcW w:w="250" w:type="pct"/>
            <w:tcBorders>
              <w:top w:val="nil"/>
              <w:left w:val="nil"/>
              <w:bottom w:val="nil"/>
              <w:right w:val="nil"/>
            </w:tcBorders>
            <w:shd w:val="clear" w:color="auto" w:fill="auto"/>
            <w:vAlign w:val="center"/>
          </w:tcPr>
          <w:p w14:paraId="7DF67EFF" w14:textId="77777777" w:rsidR="009907BA" w:rsidRPr="00803DAB" w:rsidRDefault="009907BA" w:rsidP="00F87A29">
            <w:pPr>
              <w:pStyle w:val="17-tablecontent"/>
              <w:rPr>
                <w:color w:val="auto"/>
                <w:lang w:eastAsia="zh-CN"/>
              </w:rPr>
            </w:pPr>
            <w:r w:rsidRPr="00803DAB">
              <w:rPr>
                <w:color w:val="auto"/>
                <w:lang w:eastAsia="zh-CN"/>
              </w:rPr>
              <w:t>0.59</w:t>
            </w:r>
          </w:p>
        </w:tc>
        <w:tc>
          <w:tcPr>
            <w:tcW w:w="250" w:type="pct"/>
            <w:tcBorders>
              <w:top w:val="nil"/>
              <w:left w:val="nil"/>
              <w:bottom w:val="nil"/>
              <w:right w:val="nil"/>
            </w:tcBorders>
            <w:shd w:val="clear" w:color="auto" w:fill="auto"/>
            <w:vAlign w:val="center"/>
          </w:tcPr>
          <w:p w14:paraId="74730095" w14:textId="77777777" w:rsidR="009907BA" w:rsidRPr="00803DAB" w:rsidRDefault="009907BA" w:rsidP="00F87A29">
            <w:pPr>
              <w:pStyle w:val="17-tablecontent"/>
              <w:rPr>
                <w:color w:val="auto"/>
                <w:lang w:eastAsia="zh-CN"/>
              </w:rPr>
            </w:pPr>
            <w:r w:rsidRPr="00803DAB">
              <w:rPr>
                <w:color w:val="auto"/>
                <w:lang w:eastAsia="zh-CN"/>
              </w:rPr>
              <w:t>0.63</w:t>
            </w:r>
          </w:p>
        </w:tc>
        <w:tc>
          <w:tcPr>
            <w:tcW w:w="250" w:type="pct"/>
            <w:tcBorders>
              <w:top w:val="nil"/>
            </w:tcBorders>
            <w:shd w:val="clear" w:color="auto" w:fill="auto"/>
            <w:vAlign w:val="center"/>
          </w:tcPr>
          <w:p w14:paraId="7AEA4F62" w14:textId="77777777" w:rsidR="009907BA" w:rsidRPr="00803DAB" w:rsidRDefault="009907BA" w:rsidP="00F87A29">
            <w:pPr>
              <w:pStyle w:val="17-tablecontent"/>
              <w:rPr>
                <w:color w:val="auto"/>
                <w:lang w:eastAsia="zh-CN"/>
              </w:rPr>
            </w:pPr>
          </w:p>
        </w:tc>
        <w:tc>
          <w:tcPr>
            <w:tcW w:w="250" w:type="pct"/>
            <w:tcBorders>
              <w:top w:val="nil"/>
              <w:right w:val="nil"/>
            </w:tcBorders>
            <w:shd w:val="clear" w:color="auto" w:fill="auto"/>
            <w:vAlign w:val="center"/>
          </w:tcPr>
          <w:p w14:paraId="09F45B2A" w14:textId="77777777" w:rsidR="009907BA" w:rsidRPr="00803DAB" w:rsidRDefault="009907BA" w:rsidP="00F87A29">
            <w:pPr>
              <w:pStyle w:val="17-tablecontent"/>
              <w:rPr>
                <w:color w:val="auto"/>
                <w:lang w:eastAsia="zh-CN"/>
              </w:rPr>
            </w:pPr>
          </w:p>
        </w:tc>
        <w:tc>
          <w:tcPr>
            <w:tcW w:w="250" w:type="pct"/>
            <w:tcBorders>
              <w:top w:val="nil"/>
              <w:left w:val="nil"/>
              <w:bottom w:val="nil"/>
              <w:right w:val="nil"/>
            </w:tcBorders>
            <w:shd w:val="clear" w:color="auto" w:fill="auto"/>
            <w:vAlign w:val="center"/>
          </w:tcPr>
          <w:p w14:paraId="7E5A17C5" w14:textId="77777777" w:rsidR="009907BA" w:rsidRPr="00803DAB" w:rsidRDefault="009907BA" w:rsidP="00F87A29">
            <w:pPr>
              <w:pStyle w:val="17-tablecontent"/>
              <w:rPr>
                <w:color w:val="auto"/>
                <w:lang w:eastAsia="zh-CN"/>
              </w:rPr>
            </w:pPr>
            <w:r w:rsidRPr="00803DAB">
              <w:rPr>
                <w:color w:val="auto"/>
                <w:lang w:eastAsia="zh-CN"/>
              </w:rPr>
              <w:t xml:space="preserve">0.76 </w:t>
            </w:r>
          </w:p>
        </w:tc>
        <w:tc>
          <w:tcPr>
            <w:tcW w:w="250" w:type="pct"/>
            <w:tcBorders>
              <w:top w:val="nil"/>
              <w:left w:val="nil"/>
              <w:bottom w:val="nil"/>
              <w:right w:val="nil"/>
            </w:tcBorders>
            <w:shd w:val="clear" w:color="auto" w:fill="auto"/>
            <w:vAlign w:val="center"/>
          </w:tcPr>
          <w:p w14:paraId="614EE5A3" w14:textId="77777777" w:rsidR="009907BA" w:rsidRPr="00803DAB" w:rsidRDefault="009907BA" w:rsidP="00F87A29">
            <w:pPr>
              <w:pStyle w:val="17-tablecontent"/>
              <w:rPr>
                <w:color w:val="auto"/>
                <w:lang w:eastAsia="zh-CN"/>
              </w:rPr>
            </w:pPr>
          </w:p>
        </w:tc>
        <w:tc>
          <w:tcPr>
            <w:tcW w:w="250" w:type="pct"/>
            <w:tcBorders>
              <w:top w:val="nil"/>
              <w:left w:val="nil"/>
              <w:bottom w:val="nil"/>
              <w:right w:val="nil"/>
            </w:tcBorders>
            <w:shd w:val="clear" w:color="auto" w:fill="auto"/>
            <w:vAlign w:val="center"/>
          </w:tcPr>
          <w:p w14:paraId="2ACC8ED5" w14:textId="77777777" w:rsidR="009907BA" w:rsidRPr="00803DAB" w:rsidRDefault="009907BA" w:rsidP="00F87A29">
            <w:pPr>
              <w:pStyle w:val="17-tablecontent"/>
              <w:rPr>
                <w:color w:val="auto"/>
                <w:lang w:eastAsia="zh-CN"/>
              </w:rPr>
            </w:pPr>
            <w:r w:rsidRPr="00803DAB">
              <w:rPr>
                <w:color w:val="auto"/>
                <w:lang w:eastAsia="zh-CN"/>
              </w:rPr>
              <w:t>0.64</w:t>
            </w:r>
          </w:p>
        </w:tc>
        <w:tc>
          <w:tcPr>
            <w:tcW w:w="250" w:type="pct"/>
            <w:tcBorders>
              <w:top w:val="nil"/>
              <w:left w:val="nil"/>
              <w:bottom w:val="nil"/>
              <w:right w:val="nil"/>
            </w:tcBorders>
            <w:shd w:val="clear" w:color="auto" w:fill="auto"/>
            <w:vAlign w:val="center"/>
          </w:tcPr>
          <w:p w14:paraId="04905B72" w14:textId="77777777" w:rsidR="009907BA" w:rsidRPr="00803DAB" w:rsidRDefault="009907BA" w:rsidP="00F87A29">
            <w:pPr>
              <w:pStyle w:val="17-tablecontent"/>
              <w:rPr>
                <w:color w:val="auto"/>
                <w:lang w:eastAsia="zh-CN"/>
              </w:rPr>
            </w:pPr>
            <w:r w:rsidRPr="00803DAB">
              <w:rPr>
                <w:color w:val="auto"/>
                <w:lang w:eastAsia="zh-CN"/>
              </w:rPr>
              <w:t>0.79</w:t>
            </w:r>
          </w:p>
        </w:tc>
        <w:tc>
          <w:tcPr>
            <w:tcW w:w="250" w:type="pct"/>
            <w:tcBorders>
              <w:top w:val="nil"/>
              <w:left w:val="nil"/>
              <w:bottom w:val="nil"/>
              <w:right w:val="nil"/>
            </w:tcBorders>
            <w:shd w:val="clear" w:color="auto" w:fill="auto"/>
            <w:vAlign w:val="center"/>
          </w:tcPr>
          <w:p w14:paraId="3110E4A1" w14:textId="77777777" w:rsidR="009907BA" w:rsidRPr="00803DAB" w:rsidRDefault="009907BA" w:rsidP="00F87A29">
            <w:pPr>
              <w:pStyle w:val="17-tablecontent"/>
              <w:rPr>
                <w:color w:val="auto"/>
                <w:lang w:eastAsia="zh-CN"/>
              </w:rPr>
            </w:pPr>
            <w:r w:rsidRPr="00803DAB">
              <w:rPr>
                <w:color w:val="auto"/>
                <w:lang w:eastAsia="zh-CN"/>
              </w:rPr>
              <w:t>0.84</w:t>
            </w:r>
          </w:p>
        </w:tc>
        <w:tc>
          <w:tcPr>
            <w:tcW w:w="250" w:type="pct"/>
            <w:tcBorders>
              <w:top w:val="nil"/>
              <w:left w:val="nil"/>
              <w:bottom w:val="nil"/>
              <w:right w:val="nil"/>
            </w:tcBorders>
            <w:shd w:val="clear" w:color="auto" w:fill="auto"/>
            <w:vAlign w:val="center"/>
          </w:tcPr>
          <w:p w14:paraId="701FC183" w14:textId="77777777" w:rsidR="009907BA" w:rsidRPr="00803DAB" w:rsidRDefault="009907BA" w:rsidP="00F87A29">
            <w:pPr>
              <w:pStyle w:val="17-tablecontent"/>
              <w:rPr>
                <w:color w:val="auto"/>
                <w:lang w:eastAsia="zh-CN"/>
              </w:rPr>
            </w:pPr>
          </w:p>
        </w:tc>
        <w:tc>
          <w:tcPr>
            <w:tcW w:w="770" w:type="pct"/>
            <w:tcBorders>
              <w:top w:val="nil"/>
              <w:left w:val="nil"/>
              <w:bottom w:val="nil"/>
            </w:tcBorders>
            <w:vAlign w:val="center"/>
          </w:tcPr>
          <w:p w14:paraId="0D4FB44E" w14:textId="2196694C"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{"citationItems":[{"id":"ITEM-1","itemData":{"DOI":"10.1007/s10704-010-9576-4","ISSN":"03769429","abstract":"Uniaxial compression experiments were performed for brittle sandstone samples containing a single fissure by a rock mechanics servo-controlled testing system. Based on the experimental results of axial stress-axial strain curves, the influence of single fissure geometry on the strength and deformation behavior of sandstone samples is analyzed in detail. Compared with the intact sandstone sample, the sandstone samples containing a single fissure show the localization deformation failure. The uniaxial compressive strength, Young's modulus and peak axial strain of sandstone samples with pre-existing single fissure are all lower than that of intact sandstone sample, which is closely related to the fissure length and fissure angle. The crack coalescence was observed and characterized from tips of pre-existing single fissure in brittle sandstone sample. Nine different crack types are identified based on their geometry and crack propagation mechanism (tensile, shear, lateral crack, far-field crack and surface spalling) for single fissure, which can be used to analyze the failure mode and cracking process of sandstone sample containing a single fissure under uniaxial compression. To confirm the subsequence of crack coalescence in sandstone sample, the photographic monitoring and acoustic emission (AE) technique were adopted for uniaxial compression test. The real-time crack coalescence process of sandstone containing a single fissure was recorded during the whole loading. In the end, the influence of the crack coalescence on the strength and deformation failure behavior of brittle sandstone sample containing a single fissure is analyzed under uniaxial compression. The present research is helpful to understand the failure behavior and fracture mechanism of engineering rock mass (such as slope instability and underground rock burst). © 2010 Springer Science+Business Media B.V.","author":[{"dropping-particle":"","family":"Yang","given":"Sheng Qi","non-dropping-particle":"","parse-names":false,"suffix":""},{"dropping-particle":"","family":"Jing","given":"Hong Wen","non-dropping-particle":"","parse-names":false,"suffix":""}],"container-title":"International Journal of Fracture","id":"ITEM-1","issue":"2","issued":{"date-parts":[["2011"]]},"page":"227-250","title":"Strength failure and crack coalescence behavior of brittle sandstone samples containing a single fissure under uniaxial compression","type":"article-journal","volume":"168"},"uris":["http://www.mendeley.com/documents/?uuid=75a2aacb-8b0a-488c-b6f4-866467c16c15"]}],"mendeley":{"formattedCitation":"(Yang and Jing, 2011)","manualFormatting":"Yang and Jing (2011","plainTextFormattedCitation":"(Yang and Jing, 2011)","previouslyFormattedCitation":"(Yang and Jing 2011)"},"properties":{"noteIndex":0},"schema":"https://github.com/citation-style-language/schema/raw/master/csl-citation.json"}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and Jing (2011</w:t>
            </w:r>
            <w:r w:rsidRPr="00803DAB">
              <w:rPr>
                <w:color w:val="auto"/>
                <w:lang w:eastAsia="zh-CN"/>
              </w:rPr>
              <w:fldChar w:fldCharType="end"/>
            </w:r>
            <w:r w:rsidRPr="00803DAB">
              <w:rPr>
                <w:color w:val="auto"/>
                <w:lang w:eastAsia="zh-CN"/>
              </w:rPr>
              <w:t>)</w:t>
            </w:r>
          </w:p>
        </w:tc>
      </w:tr>
      <w:tr w:rsidR="009907BA" w:rsidRPr="00803DAB" w14:paraId="1E2969DA" w14:textId="77777777" w:rsidTr="00F87A29">
        <w:tc>
          <w:tcPr>
            <w:tcW w:w="433" w:type="pct"/>
            <w:vAlign w:val="center"/>
          </w:tcPr>
          <w:p w14:paraId="2B433071" w14:textId="77777777" w:rsidR="009907BA" w:rsidRPr="00803DAB" w:rsidRDefault="009907BA" w:rsidP="00F87A29">
            <w:pPr>
              <w:pStyle w:val="17-tablecontent"/>
              <w:rPr>
                <w:color w:val="auto"/>
                <w:lang w:eastAsia="zh-CN"/>
              </w:rPr>
            </w:pPr>
            <w:r w:rsidRPr="00803DAB">
              <w:rPr>
                <w:color w:val="auto"/>
                <w:lang w:eastAsia="zh-CN"/>
              </w:rPr>
              <w:t xml:space="preserve">Sandstone </w:t>
            </w:r>
          </w:p>
        </w:tc>
        <w:tc>
          <w:tcPr>
            <w:tcW w:w="294" w:type="pct"/>
            <w:vAlign w:val="center"/>
          </w:tcPr>
          <w:p w14:paraId="4BA61B11" w14:textId="77777777" w:rsidR="009907BA" w:rsidRPr="00803DAB" w:rsidRDefault="009907BA" w:rsidP="00F87A29">
            <w:pPr>
              <w:pStyle w:val="17-tablecontent"/>
              <w:rPr>
                <w:color w:val="auto"/>
                <w:lang w:eastAsia="zh-CN"/>
              </w:rPr>
            </w:pPr>
            <w:r w:rsidRPr="00803DAB">
              <w:rPr>
                <w:color w:val="auto"/>
                <w:lang w:eastAsia="zh-CN"/>
              </w:rPr>
              <w:t>0.72</w:t>
            </w:r>
          </w:p>
        </w:tc>
        <w:tc>
          <w:tcPr>
            <w:tcW w:w="250" w:type="pct"/>
            <w:shd w:val="clear" w:color="auto" w:fill="auto"/>
            <w:vAlign w:val="center"/>
          </w:tcPr>
          <w:p w14:paraId="3E6947F9" w14:textId="77777777" w:rsidR="009907BA" w:rsidRPr="00803DAB" w:rsidRDefault="009907BA" w:rsidP="00F87A29">
            <w:pPr>
              <w:pStyle w:val="17-tablecontent"/>
              <w:rPr>
                <w:color w:val="auto"/>
                <w:lang w:eastAsia="zh-CN"/>
              </w:rPr>
            </w:pPr>
          </w:p>
        </w:tc>
        <w:tc>
          <w:tcPr>
            <w:tcW w:w="250" w:type="pct"/>
            <w:tcBorders>
              <w:top w:val="nil"/>
              <w:left w:val="nil"/>
              <w:bottom w:val="nil"/>
              <w:right w:val="nil"/>
            </w:tcBorders>
            <w:shd w:val="clear" w:color="auto" w:fill="auto"/>
            <w:vAlign w:val="center"/>
          </w:tcPr>
          <w:p w14:paraId="67FAEB67" w14:textId="77777777" w:rsidR="009907BA" w:rsidRPr="00803DAB" w:rsidRDefault="009907BA" w:rsidP="00F87A29">
            <w:pPr>
              <w:pStyle w:val="17-tablecontent"/>
              <w:rPr>
                <w:color w:val="auto"/>
                <w:lang w:eastAsia="zh-CN"/>
              </w:rPr>
            </w:pPr>
            <w:r w:rsidRPr="00803DAB">
              <w:rPr>
                <w:color w:val="auto"/>
                <w:lang w:eastAsia="zh-CN"/>
              </w:rPr>
              <w:t xml:space="preserve">0.62 </w:t>
            </w:r>
          </w:p>
        </w:tc>
        <w:tc>
          <w:tcPr>
            <w:tcW w:w="250" w:type="pct"/>
            <w:tcBorders>
              <w:top w:val="nil"/>
              <w:left w:val="nil"/>
              <w:bottom w:val="nil"/>
              <w:right w:val="nil"/>
            </w:tcBorders>
            <w:shd w:val="clear" w:color="auto" w:fill="auto"/>
            <w:vAlign w:val="center"/>
          </w:tcPr>
          <w:p w14:paraId="2025C75B" w14:textId="77777777" w:rsidR="009907BA" w:rsidRPr="00803DAB" w:rsidRDefault="009907BA" w:rsidP="00F87A29">
            <w:pPr>
              <w:pStyle w:val="17-tablecontent"/>
              <w:rPr>
                <w:color w:val="auto"/>
                <w:lang w:eastAsia="zh-CN"/>
              </w:rPr>
            </w:pPr>
            <w:r w:rsidRPr="00803DAB">
              <w:rPr>
                <w:color w:val="auto"/>
                <w:lang w:eastAsia="zh-CN"/>
              </w:rPr>
              <w:t xml:space="preserve">0.63 </w:t>
            </w:r>
          </w:p>
        </w:tc>
        <w:tc>
          <w:tcPr>
            <w:tcW w:w="250" w:type="pct"/>
            <w:tcBorders>
              <w:top w:val="nil"/>
              <w:left w:val="nil"/>
              <w:bottom w:val="nil"/>
              <w:right w:val="nil"/>
            </w:tcBorders>
            <w:shd w:val="clear" w:color="auto" w:fill="auto"/>
            <w:vAlign w:val="center"/>
          </w:tcPr>
          <w:p w14:paraId="645DA7FA" w14:textId="77777777" w:rsidR="009907BA" w:rsidRPr="00803DAB" w:rsidRDefault="009907BA" w:rsidP="00F87A29">
            <w:pPr>
              <w:pStyle w:val="17-tablecontent"/>
              <w:rPr>
                <w:color w:val="auto"/>
                <w:lang w:eastAsia="zh-CN"/>
              </w:rPr>
            </w:pPr>
            <w:r w:rsidRPr="00803DAB">
              <w:rPr>
                <w:color w:val="auto"/>
                <w:lang w:eastAsia="zh-CN"/>
              </w:rPr>
              <w:t xml:space="preserve">0.63 </w:t>
            </w:r>
          </w:p>
        </w:tc>
        <w:tc>
          <w:tcPr>
            <w:tcW w:w="250" w:type="pct"/>
            <w:tcBorders>
              <w:top w:val="nil"/>
              <w:left w:val="nil"/>
              <w:bottom w:val="nil"/>
              <w:right w:val="nil"/>
            </w:tcBorders>
            <w:shd w:val="clear" w:color="auto" w:fill="auto"/>
            <w:vAlign w:val="center"/>
          </w:tcPr>
          <w:p w14:paraId="78020B51" w14:textId="77777777" w:rsidR="009907BA" w:rsidRPr="00803DAB" w:rsidRDefault="009907BA" w:rsidP="00F87A29">
            <w:pPr>
              <w:pStyle w:val="17-tablecontent"/>
              <w:rPr>
                <w:color w:val="auto"/>
                <w:lang w:eastAsia="zh-CN"/>
              </w:rPr>
            </w:pPr>
            <w:r w:rsidRPr="00803DAB">
              <w:rPr>
                <w:color w:val="auto"/>
                <w:lang w:eastAsia="zh-CN"/>
              </w:rPr>
              <w:t>0.7</w:t>
            </w:r>
          </w:p>
        </w:tc>
        <w:tc>
          <w:tcPr>
            <w:tcW w:w="250" w:type="pct"/>
            <w:tcBorders>
              <w:top w:val="nil"/>
              <w:left w:val="nil"/>
              <w:bottom w:val="nil"/>
              <w:right w:val="nil"/>
            </w:tcBorders>
            <w:shd w:val="clear" w:color="auto" w:fill="auto"/>
            <w:vAlign w:val="center"/>
          </w:tcPr>
          <w:p w14:paraId="0179190B" w14:textId="77777777" w:rsidR="009907BA" w:rsidRPr="00803DAB" w:rsidRDefault="009907BA" w:rsidP="00F87A29">
            <w:pPr>
              <w:pStyle w:val="17-tablecontent"/>
              <w:rPr>
                <w:color w:val="auto"/>
                <w:lang w:eastAsia="zh-CN"/>
              </w:rPr>
            </w:pPr>
            <w:r w:rsidRPr="00803DAB">
              <w:rPr>
                <w:color w:val="auto"/>
                <w:lang w:eastAsia="zh-CN"/>
              </w:rPr>
              <w:t xml:space="preserve">0.74 </w:t>
            </w:r>
          </w:p>
        </w:tc>
        <w:tc>
          <w:tcPr>
            <w:tcW w:w="250" w:type="pct"/>
            <w:shd w:val="clear" w:color="auto" w:fill="auto"/>
            <w:vAlign w:val="center"/>
          </w:tcPr>
          <w:p w14:paraId="1DC25CCB" w14:textId="77777777" w:rsidR="009907BA" w:rsidRPr="00803DAB" w:rsidRDefault="009907BA" w:rsidP="00F87A29">
            <w:pPr>
              <w:pStyle w:val="17-tablecontent"/>
              <w:rPr>
                <w:color w:val="auto"/>
                <w:lang w:eastAsia="zh-CN"/>
              </w:rPr>
            </w:pPr>
          </w:p>
        </w:tc>
        <w:tc>
          <w:tcPr>
            <w:tcW w:w="250" w:type="pct"/>
            <w:tcBorders>
              <w:bottom w:val="nil"/>
            </w:tcBorders>
            <w:shd w:val="clear" w:color="auto" w:fill="auto"/>
            <w:vAlign w:val="center"/>
          </w:tcPr>
          <w:p w14:paraId="446E8827" w14:textId="77777777" w:rsidR="009907BA" w:rsidRPr="00803DAB" w:rsidRDefault="009907BA" w:rsidP="00F87A29">
            <w:pPr>
              <w:pStyle w:val="17-tablecontent"/>
              <w:rPr>
                <w:color w:val="auto"/>
                <w:lang w:eastAsia="zh-CN"/>
              </w:rPr>
            </w:pPr>
          </w:p>
        </w:tc>
        <w:tc>
          <w:tcPr>
            <w:tcW w:w="250" w:type="pct"/>
            <w:tcBorders>
              <w:top w:val="nil"/>
              <w:left w:val="nil"/>
              <w:bottom w:val="nil"/>
              <w:right w:val="nil"/>
            </w:tcBorders>
            <w:shd w:val="clear" w:color="auto" w:fill="auto"/>
            <w:vAlign w:val="center"/>
          </w:tcPr>
          <w:p w14:paraId="5F6A0C2E"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50" w:type="pct"/>
            <w:tcBorders>
              <w:top w:val="nil"/>
              <w:left w:val="nil"/>
              <w:bottom w:val="nil"/>
              <w:right w:val="nil"/>
            </w:tcBorders>
            <w:shd w:val="clear" w:color="auto" w:fill="auto"/>
            <w:vAlign w:val="center"/>
          </w:tcPr>
          <w:p w14:paraId="0262384D" w14:textId="77777777" w:rsidR="009907BA" w:rsidRPr="00803DAB" w:rsidRDefault="009907BA" w:rsidP="00F87A29">
            <w:pPr>
              <w:pStyle w:val="17-tablecontent"/>
              <w:rPr>
                <w:color w:val="auto"/>
                <w:lang w:eastAsia="zh-CN"/>
              </w:rPr>
            </w:pPr>
            <w:r w:rsidRPr="00803DAB">
              <w:rPr>
                <w:color w:val="auto"/>
                <w:lang w:eastAsia="zh-CN"/>
              </w:rPr>
              <w:t xml:space="preserve">0.88 </w:t>
            </w:r>
          </w:p>
        </w:tc>
        <w:tc>
          <w:tcPr>
            <w:tcW w:w="250" w:type="pct"/>
            <w:tcBorders>
              <w:top w:val="nil"/>
              <w:left w:val="nil"/>
              <w:bottom w:val="nil"/>
              <w:right w:val="nil"/>
            </w:tcBorders>
            <w:shd w:val="clear" w:color="auto" w:fill="auto"/>
            <w:vAlign w:val="center"/>
          </w:tcPr>
          <w:p w14:paraId="0D16918E" w14:textId="77777777" w:rsidR="009907BA" w:rsidRPr="00803DAB" w:rsidRDefault="009907BA" w:rsidP="00F87A29">
            <w:pPr>
              <w:pStyle w:val="17-tablecontent"/>
              <w:rPr>
                <w:color w:val="auto"/>
                <w:lang w:eastAsia="zh-CN"/>
              </w:rPr>
            </w:pPr>
            <w:r w:rsidRPr="00803DAB">
              <w:rPr>
                <w:color w:val="auto"/>
                <w:lang w:eastAsia="zh-CN"/>
              </w:rPr>
              <w:t xml:space="preserve">0.87 </w:t>
            </w:r>
          </w:p>
        </w:tc>
        <w:tc>
          <w:tcPr>
            <w:tcW w:w="250" w:type="pct"/>
            <w:tcBorders>
              <w:top w:val="nil"/>
              <w:left w:val="nil"/>
              <w:bottom w:val="nil"/>
              <w:right w:val="nil"/>
            </w:tcBorders>
            <w:shd w:val="clear" w:color="auto" w:fill="auto"/>
            <w:vAlign w:val="center"/>
          </w:tcPr>
          <w:p w14:paraId="35DAB52D" w14:textId="77777777" w:rsidR="009907BA" w:rsidRPr="00803DAB" w:rsidRDefault="009907BA" w:rsidP="00F87A29">
            <w:pPr>
              <w:pStyle w:val="17-tablecontent"/>
              <w:rPr>
                <w:color w:val="auto"/>
                <w:lang w:eastAsia="zh-CN"/>
              </w:rPr>
            </w:pPr>
            <w:r w:rsidRPr="00803DAB">
              <w:rPr>
                <w:color w:val="auto"/>
                <w:lang w:eastAsia="zh-CN"/>
              </w:rPr>
              <w:t xml:space="preserve">0.97 </w:t>
            </w:r>
          </w:p>
        </w:tc>
        <w:tc>
          <w:tcPr>
            <w:tcW w:w="250" w:type="pct"/>
            <w:tcBorders>
              <w:top w:val="nil"/>
              <w:left w:val="nil"/>
              <w:bottom w:val="nil"/>
              <w:right w:val="nil"/>
            </w:tcBorders>
            <w:shd w:val="clear" w:color="auto" w:fill="auto"/>
            <w:vAlign w:val="center"/>
          </w:tcPr>
          <w:p w14:paraId="22655FD9" w14:textId="77777777" w:rsidR="009907BA" w:rsidRPr="00803DAB" w:rsidRDefault="009907BA" w:rsidP="00F87A29">
            <w:pPr>
              <w:pStyle w:val="17-tablecontent"/>
              <w:rPr>
                <w:color w:val="auto"/>
                <w:lang w:eastAsia="zh-CN"/>
              </w:rPr>
            </w:pPr>
            <w:r w:rsidRPr="00803DAB">
              <w:rPr>
                <w:color w:val="auto"/>
                <w:lang w:eastAsia="zh-CN"/>
              </w:rPr>
              <w:t xml:space="preserve">1.03 </w:t>
            </w:r>
          </w:p>
        </w:tc>
        <w:tc>
          <w:tcPr>
            <w:tcW w:w="250" w:type="pct"/>
            <w:tcBorders>
              <w:top w:val="nil"/>
              <w:bottom w:val="nil"/>
            </w:tcBorders>
            <w:shd w:val="clear" w:color="auto" w:fill="auto"/>
            <w:vAlign w:val="center"/>
          </w:tcPr>
          <w:p w14:paraId="261AD097" w14:textId="77777777" w:rsidR="009907BA" w:rsidRPr="00803DAB" w:rsidRDefault="009907BA" w:rsidP="00F87A29">
            <w:pPr>
              <w:pStyle w:val="17-tablecontent"/>
              <w:rPr>
                <w:color w:val="auto"/>
                <w:lang w:eastAsia="zh-CN"/>
              </w:rPr>
            </w:pPr>
          </w:p>
        </w:tc>
        <w:tc>
          <w:tcPr>
            <w:tcW w:w="770" w:type="pct"/>
            <w:tcBorders>
              <w:top w:val="nil"/>
            </w:tcBorders>
            <w:vAlign w:val="center"/>
          </w:tcPr>
          <w:p w14:paraId="6DC0F2A4" w14:textId="486226A1"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{"citationItems":[{"id":"ITEM-1","itemData":{"DOI":"10.1016/j.ijmst.2015.12.019","ISSN":"20952686","abstract":"In order to investigate the physical and mechanical properties of sandstone containing fissures after exposure to high temperatures, fissures with different angles α were prefabricated in the plate sandstone samples, and the processed samples were then heated at 5 different temperatures. Indoor uniaxial compression was conducted to analyze the change rules of physical properties of sandstone after exposure to high temperature, and the deformation, strength and failure characteristics of sandstone containing fissures. The results show that, with increasing temperature, the volume of sandstone increases gradually while the quality and density decrease gradually, and the color of sandstone remains basically unchanged while the brightness increases markedly when the temperature is higher than 585 °C; the peak strength of sandstone containing fissures first decreases then increases when the temperature is between 25 °C and 400 °C. The peak strain of sandstone containing fissures increases g adually while the average modulus decreases gradually with increasing temperature, and the mechanical properties of sandstone show obvious deterioration after 400 °C. The peak strain of sandstone containing fissures increases gradually while the average modulus decreases gradually with increasing temperature; with increasing angle α of the fissure, the evolution characteristics of the macro-mechanical parameters of sandstone are closely related to the their own mechanical properties. When the temperature is 800 °C, the correlation between the peak strength and average modulus of sandstone and the angle α of the fissure is obviously weakened. The failure modes of sandstone containing fissures after high temperature exposure are of three different kinds including: tensile crack failure, tensile and shear cracks mixed failure, and shear crack failure. Tensile and shear crack mixed failure occur mainly at low temperatures and small angles; tensile crack failure occurs at high temperatures and large angles.","author":[{"dropping-particle":"","family":"Zhu","given":"Tantan","non-dropping-particle":"","parse-names":false,"suffix":""},{"dropping-particle":"","family":"Jing","given":"Hongwen","non-dropping-particle":"","parse-names":false,"suffix":""},{"dropping-particle":"","family":"Su","given":"Haijian","non-dropping-particle":"","parse-names":false,"suffix":""},{"dropping-particle":"","family":"Yin","given":"Qian","non-dropping-particle":"","parse-names":false,"suffix":""},{"dropping-particle":"","family":"Du","given":"Mingrui","non-dropping-particle":"","parse-names":false,"suffix":""},{"dropping-particle":"","family":"Han","given":"Guansheng","non-dropping-particle":"","parse-names":false,"suffix":""}],"container-title":"International Journal of Mining Science and Technology","id":"ITEM-1","issue":"2","issued":{"date-parts":[["2016"]]},"page":"319-325","publisher":"China University of Mining &amp; Technology","title":"Physical and mechanical properties of sandstone containing a single fissure after exposure to high temperatures","type":"article-journal","volume":"26"},"uris":["http://www.mendeley.com/documents/?uuid=9fdaddfd-2856-4179-a08b-c1280c28c862"]}],"mendeley":{"formattedCitation":"(Zhu et al., 2016)","manualFormatting":"Zhu et al. (2016","plainTextFormattedCitation":"(Zhu et al., 2016)","previouslyFormattedCitation":"(Zhu et al. 2016)"},"properties":{"noteIndex":0},"schema":"https://github.com/citation-style-language/schema/raw/master/csl-citation.json"}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 et al. (2016</w:t>
            </w:r>
            <w:r w:rsidRPr="00803DAB">
              <w:rPr>
                <w:color w:val="auto"/>
                <w:lang w:eastAsia="zh-CN"/>
              </w:rPr>
              <w:fldChar w:fldCharType="end"/>
            </w:r>
            <w:r w:rsidRPr="00803DAB">
              <w:rPr>
                <w:color w:val="auto"/>
                <w:lang w:eastAsia="zh-CN"/>
              </w:rPr>
              <w:t>)</w:t>
            </w:r>
          </w:p>
        </w:tc>
      </w:tr>
      <w:tr w:rsidR="009907BA" w:rsidRPr="00803DAB" w14:paraId="470ECFD6" w14:textId="77777777" w:rsidTr="00F87A29">
        <w:tc>
          <w:tcPr>
            <w:tcW w:w="433" w:type="pct"/>
            <w:tcBorders>
              <w:bottom w:val="nil"/>
            </w:tcBorders>
            <w:vAlign w:val="center"/>
          </w:tcPr>
          <w:p w14:paraId="35CE95CE" w14:textId="77777777" w:rsidR="009907BA" w:rsidRPr="00803DAB" w:rsidRDefault="009907BA" w:rsidP="00F87A29">
            <w:pPr>
              <w:pStyle w:val="17-tablecontent"/>
              <w:rPr>
                <w:color w:val="auto"/>
                <w:lang w:eastAsia="zh-CN"/>
              </w:rPr>
            </w:pPr>
            <w:r w:rsidRPr="00803DAB">
              <w:rPr>
                <w:color w:val="auto"/>
                <w:lang w:eastAsia="zh-CN"/>
              </w:rPr>
              <w:t>Granite</w:t>
            </w:r>
          </w:p>
        </w:tc>
        <w:tc>
          <w:tcPr>
            <w:tcW w:w="294" w:type="pct"/>
            <w:tcBorders>
              <w:bottom w:val="nil"/>
            </w:tcBorders>
            <w:vAlign w:val="center"/>
          </w:tcPr>
          <w:p w14:paraId="5155CFDC" w14:textId="77777777" w:rsidR="009907BA" w:rsidRPr="00803DAB" w:rsidRDefault="009907BA" w:rsidP="00F87A29">
            <w:pPr>
              <w:pStyle w:val="17-tablecontent"/>
              <w:rPr>
                <w:color w:val="auto"/>
                <w:lang w:eastAsia="zh-CN"/>
              </w:rPr>
            </w:pPr>
            <w:r w:rsidRPr="00803DAB">
              <w:rPr>
                <w:color w:val="auto"/>
                <w:lang w:eastAsia="zh-CN"/>
              </w:rPr>
              <w:t>0.61</w:t>
            </w:r>
          </w:p>
        </w:tc>
        <w:tc>
          <w:tcPr>
            <w:tcW w:w="250" w:type="pct"/>
            <w:tcBorders>
              <w:bottom w:val="nil"/>
            </w:tcBorders>
            <w:shd w:val="clear" w:color="auto" w:fill="auto"/>
            <w:vAlign w:val="center"/>
          </w:tcPr>
          <w:p w14:paraId="64140476" w14:textId="77777777" w:rsidR="009907BA" w:rsidRPr="00803DAB" w:rsidRDefault="009907BA" w:rsidP="00F87A29">
            <w:pPr>
              <w:pStyle w:val="17-tablecontent"/>
              <w:rPr>
                <w:color w:val="auto"/>
                <w:lang w:eastAsia="zh-CN"/>
              </w:rPr>
            </w:pPr>
            <w:r w:rsidRPr="00803DAB">
              <w:rPr>
                <w:color w:val="auto"/>
                <w:lang w:eastAsia="zh-CN"/>
              </w:rPr>
              <w:t>0.48</w:t>
            </w:r>
          </w:p>
        </w:tc>
        <w:tc>
          <w:tcPr>
            <w:tcW w:w="250" w:type="pct"/>
            <w:tcBorders>
              <w:bottom w:val="nil"/>
            </w:tcBorders>
            <w:shd w:val="clear" w:color="auto" w:fill="auto"/>
            <w:vAlign w:val="center"/>
          </w:tcPr>
          <w:p w14:paraId="6EFBFF07" w14:textId="77777777" w:rsidR="009907BA" w:rsidRPr="00803DAB" w:rsidRDefault="009907BA" w:rsidP="00F87A29">
            <w:pPr>
              <w:pStyle w:val="17-tablecontent"/>
              <w:rPr>
                <w:color w:val="auto"/>
                <w:lang w:eastAsia="zh-CN"/>
              </w:rPr>
            </w:pPr>
            <w:r w:rsidRPr="00803DAB">
              <w:rPr>
                <w:color w:val="auto"/>
                <w:lang w:eastAsia="zh-CN"/>
              </w:rPr>
              <w:t>0.55</w:t>
            </w:r>
          </w:p>
        </w:tc>
        <w:tc>
          <w:tcPr>
            <w:tcW w:w="250" w:type="pct"/>
            <w:tcBorders>
              <w:bottom w:val="nil"/>
            </w:tcBorders>
            <w:shd w:val="clear" w:color="auto" w:fill="auto"/>
            <w:vAlign w:val="center"/>
          </w:tcPr>
          <w:p w14:paraId="5473996A" w14:textId="77777777" w:rsidR="009907BA" w:rsidRPr="00803DAB" w:rsidRDefault="009907BA" w:rsidP="00F87A29">
            <w:pPr>
              <w:pStyle w:val="17-tablecontent"/>
              <w:rPr>
                <w:color w:val="auto"/>
                <w:lang w:eastAsia="zh-CN"/>
              </w:rPr>
            </w:pPr>
            <w:r w:rsidRPr="00803DAB">
              <w:rPr>
                <w:color w:val="auto"/>
                <w:lang w:eastAsia="zh-CN"/>
              </w:rPr>
              <w:t>0.48</w:t>
            </w:r>
          </w:p>
        </w:tc>
        <w:tc>
          <w:tcPr>
            <w:tcW w:w="250" w:type="pct"/>
            <w:tcBorders>
              <w:bottom w:val="nil"/>
            </w:tcBorders>
            <w:shd w:val="clear" w:color="auto" w:fill="auto"/>
            <w:vAlign w:val="center"/>
          </w:tcPr>
          <w:p w14:paraId="71D16AAB" w14:textId="77777777" w:rsidR="009907BA" w:rsidRPr="00803DAB" w:rsidRDefault="009907BA" w:rsidP="00F87A29">
            <w:pPr>
              <w:pStyle w:val="17-tablecontent"/>
              <w:rPr>
                <w:color w:val="auto"/>
                <w:lang w:eastAsia="zh-CN"/>
              </w:rPr>
            </w:pPr>
            <w:r w:rsidRPr="00803DAB">
              <w:rPr>
                <w:color w:val="auto"/>
                <w:lang w:eastAsia="zh-CN"/>
              </w:rPr>
              <w:t>0.56</w:t>
            </w:r>
          </w:p>
        </w:tc>
        <w:tc>
          <w:tcPr>
            <w:tcW w:w="250" w:type="pct"/>
            <w:tcBorders>
              <w:bottom w:val="nil"/>
            </w:tcBorders>
            <w:shd w:val="clear" w:color="auto" w:fill="auto"/>
            <w:vAlign w:val="center"/>
          </w:tcPr>
          <w:p w14:paraId="09F6294C" w14:textId="77777777" w:rsidR="009907BA" w:rsidRPr="00803DAB" w:rsidRDefault="009907BA" w:rsidP="00F87A29">
            <w:pPr>
              <w:pStyle w:val="17-tablecontent"/>
              <w:rPr>
                <w:color w:val="auto"/>
                <w:lang w:eastAsia="zh-CN"/>
              </w:rPr>
            </w:pPr>
            <w:r w:rsidRPr="00803DAB">
              <w:rPr>
                <w:color w:val="auto"/>
                <w:lang w:eastAsia="zh-CN"/>
              </w:rPr>
              <w:t>0.53</w:t>
            </w:r>
          </w:p>
        </w:tc>
        <w:tc>
          <w:tcPr>
            <w:tcW w:w="250" w:type="pct"/>
            <w:tcBorders>
              <w:bottom w:val="nil"/>
            </w:tcBorders>
            <w:shd w:val="clear" w:color="auto" w:fill="auto"/>
            <w:vAlign w:val="center"/>
          </w:tcPr>
          <w:p w14:paraId="439AEFCC" w14:textId="77777777" w:rsidR="009907BA" w:rsidRPr="00803DAB" w:rsidRDefault="009907BA" w:rsidP="00F87A29">
            <w:pPr>
              <w:pStyle w:val="17-tablecontent"/>
              <w:rPr>
                <w:color w:val="auto"/>
                <w:lang w:eastAsia="zh-CN"/>
              </w:rPr>
            </w:pPr>
            <w:r w:rsidRPr="00803DAB">
              <w:rPr>
                <w:color w:val="auto"/>
                <w:lang w:eastAsia="zh-CN"/>
              </w:rPr>
              <w:t>0.55</w:t>
            </w:r>
          </w:p>
        </w:tc>
        <w:tc>
          <w:tcPr>
            <w:tcW w:w="250" w:type="pct"/>
            <w:tcBorders>
              <w:bottom w:val="nil"/>
            </w:tcBorders>
            <w:shd w:val="clear" w:color="auto" w:fill="auto"/>
            <w:vAlign w:val="center"/>
          </w:tcPr>
          <w:p w14:paraId="29EE3EE0" w14:textId="77777777" w:rsidR="009907BA" w:rsidRPr="00803DAB" w:rsidRDefault="009907BA" w:rsidP="00F87A29">
            <w:pPr>
              <w:pStyle w:val="17-tablecontent"/>
              <w:rPr>
                <w:color w:val="auto"/>
                <w:lang w:eastAsia="zh-CN"/>
              </w:rPr>
            </w:pPr>
            <w:r w:rsidRPr="00803DAB">
              <w:rPr>
                <w:color w:val="auto"/>
                <w:lang w:eastAsia="zh-CN"/>
              </w:rPr>
              <w:t>0.58</w:t>
            </w:r>
          </w:p>
        </w:tc>
        <w:tc>
          <w:tcPr>
            <w:tcW w:w="250" w:type="pct"/>
            <w:tcBorders>
              <w:top w:val="nil"/>
              <w:left w:val="nil"/>
              <w:bottom w:val="nil"/>
              <w:right w:val="nil"/>
            </w:tcBorders>
            <w:shd w:val="clear" w:color="auto" w:fill="auto"/>
            <w:vAlign w:val="center"/>
          </w:tcPr>
          <w:p w14:paraId="33EEE214" w14:textId="77777777" w:rsidR="009907BA" w:rsidRPr="00803DAB" w:rsidRDefault="009907BA" w:rsidP="00F87A29">
            <w:pPr>
              <w:pStyle w:val="17-tablecontent"/>
              <w:rPr>
                <w:color w:val="auto"/>
                <w:lang w:eastAsia="zh-CN"/>
              </w:rPr>
            </w:pPr>
            <w:r w:rsidRPr="00803DAB">
              <w:rPr>
                <w:color w:val="auto"/>
                <w:lang w:eastAsia="zh-CN"/>
              </w:rPr>
              <w:t xml:space="preserve">0.79 </w:t>
            </w:r>
          </w:p>
        </w:tc>
        <w:tc>
          <w:tcPr>
            <w:tcW w:w="250" w:type="pct"/>
            <w:tcBorders>
              <w:top w:val="nil"/>
              <w:left w:val="nil"/>
              <w:bottom w:val="nil"/>
              <w:right w:val="nil"/>
            </w:tcBorders>
            <w:shd w:val="clear" w:color="auto" w:fill="auto"/>
            <w:vAlign w:val="center"/>
          </w:tcPr>
          <w:p w14:paraId="6E63F6C6" w14:textId="77777777" w:rsidR="009907BA" w:rsidRPr="00803DAB" w:rsidRDefault="009907BA" w:rsidP="00F87A29">
            <w:pPr>
              <w:pStyle w:val="17-tablecontent"/>
              <w:rPr>
                <w:color w:val="auto"/>
                <w:lang w:eastAsia="zh-CN"/>
              </w:rPr>
            </w:pPr>
            <w:r w:rsidRPr="00803DAB">
              <w:rPr>
                <w:color w:val="auto"/>
                <w:lang w:eastAsia="zh-CN"/>
              </w:rPr>
              <w:t>0.9</w:t>
            </w:r>
          </w:p>
        </w:tc>
        <w:tc>
          <w:tcPr>
            <w:tcW w:w="250" w:type="pct"/>
            <w:tcBorders>
              <w:top w:val="nil"/>
              <w:left w:val="nil"/>
              <w:bottom w:val="nil"/>
              <w:right w:val="nil"/>
            </w:tcBorders>
            <w:shd w:val="clear" w:color="auto" w:fill="auto"/>
            <w:vAlign w:val="center"/>
          </w:tcPr>
          <w:p w14:paraId="0BFEFE26" w14:textId="77777777" w:rsidR="009907BA" w:rsidRPr="00803DAB" w:rsidRDefault="009907BA" w:rsidP="00F87A29">
            <w:pPr>
              <w:pStyle w:val="17-tablecontent"/>
              <w:rPr>
                <w:color w:val="auto"/>
                <w:lang w:eastAsia="zh-CN"/>
              </w:rPr>
            </w:pPr>
            <w:r w:rsidRPr="00803DAB">
              <w:rPr>
                <w:color w:val="auto"/>
                <w:lang w:eastAsia="zh-CN"/>
              </w:rPr>
              <w:t xml:space="preserve">0.79 </w:t>
            </w:r>
          </w:p>
        </w:tc>
        <w:tc>
          <w:tcPr>
            <w:tcW w:w="250" w:type="pct"/>
            <w:tcBorders>
              <w:top w:val="nil"/>
              <w:left w:val="nil"/>
              <w:bottom w:val="nil"/>
              <w:right w:val="nil"/>
            </w:tcBorders>
            <w:shd w:val="clear" w:color="auto" w:fill="auto"/>
            <w:vAlign w:val="center"/>
          </w:tcPr>
          <w:p w14:paraId="5068A0CA" w14:textId="77777777" w:rsidR="009907BA" w:rsidRPr="00803DAB" w:rsidRDefault="009907BA" w:rsidP="00F87A29">
            <w:pPr>
              <w:pStyle w:val="17-tablecontent"/>
              <w:rPr>
                <w:color w:val="auto"/>
                <w:lang w:eastAsia="zh-CN"/>
              </w:rPr>
            </w:pPr>
            <w:r w:rsidRPr="00803DAB">
              <w:rPr>
                <w:color w:val="auto"/>
                <w:lang w:eastAsia="zh-CN"/>
              </w:rPr>
              <w:t xml:space="preserve">0.92 </w:t>
            </w:r>
          </w:p>
        </w:tc>
        <w:tc>
          <w:tcPr>
            <w:tcW w:w="250" w:type="pct"/>
            <w:tcBorders>
              <w:top w:val="nil"/>
              <w:left w:val="nil"/>
              <w:bottom w:val="nil"/>
              <w:right w:val="nil"/>
            </w:tcBorders>
            <w:shd w:val="clear" w:color="auto" w:fill="auto"/>
            <w:vAlign w:val="center"/>
          </w:tcPr>
          <w:p w14:paraId="58ED4CEF" w14:textId="77777777" w:rsidR="009907BA" w:rsidRPr="00803DAB" w:rsidRDefault="009907BA" w:rsidP="00F87A29">
            <w:pPr>
              <w:pStyle w:val="17-tablecontent"/>
              <w:rPr>
                <w:color w:val="auto"/>
                <w:lang w:eastAsia="zh-CN"/>
              </w:rPr>
            </w:pPr>
            <w:r w:rsidRPr="00803DAB">
              <w:rPr>
                <w:color w:val="auto"/>
                <w:lang w:eastAsia="zh-CN"/>
              </w:rPr>
              <w:t xml:space="preserve">0.87 </w:t>
            </w:r>
          </w:p>
        </w:tc>
        <w:tc>
          <w:tcPr>
            <w:tcW w:w="250" w:type="pct"/>
            <w:tcBorders>
              <w:top w:val="nil"/>
              <w:left w:val="nil"/>
              <w:bottom w:val="nil"/>
              <w:right w:val="nil"/>
            </w:tcBorders>
            <w:shd w:val="clear" w:color="auto" w:fill="auto"/>
            <w:vAlign w:val="center"/>
          </w:tcPr>
          <w:p w14:paraId="22AD47B7" w14:textId="77777777" w:rsidR="009907BA" w:rsidRPr="00803DAB" w:rsidRDefault="009907BA" w:rsidP="00F87A29">
            <w:pPr>
              <w:pStyle w:val="17-tablecontent"/>
              <w:rPr>
                <w:color w:val="auto"/>
                <w:lang w:eastAsia="zh-CN"/>
              </w:rPr>
            </w:pPr>
            <w:r w:rsidRPr="00803DAB">
              <w:rPr>
                <w:color w:val="auto"/>
                <w:lang w:eastAsia="zh-CN"/>
              </w:rPr>
              <w:t xml:space="preserve">0.90 </w:t>
            </w:r>
          </w:p>
        </w:tc>
        <w:tc>
          <w:tcPr>
            <w:tcW w:w="250" w:type="pct"/>
            <w:tcBorders>
              <w:top w:val="nil"/>
              <w:left w:val="nil"/>
              <w:bottom w:val="nil"/>
              <w:right w:val="nil"/>
            </w:tcBorders>
            <w:shd w:val="clear" w:color="auto" w:fill="auto"/>
            <w:vAlign w:val="center"/>
          </w:tcPr>
          <w:p w14:paraId="6CA4F79E" w14:textId="77777777" w:rsidR="009907BA" w:rsidRPr="00803DAB" w:rsidRDefault="009907BA" w:rsidP="00F87A29">
            <w:pPr>
              <w:pStyle w:val="17-tablecontent"/>
              <w:rPr>
                <w:color w:val="auto"/>
                <w:lang w:eastAsia="zh-CN"/>
              </w:rPr>
            </w:pPr>
            <w:r w:rsidRPr="00803DAB">
              <w:rPr>
                <w:color w:val="auto"/>
                <w:lang w:eastAsia="zh-CN"/>
              </w:rPr>
              <w:t xml:space="preserve">0.95 </w:t>
            </w:r>
          </w:p>
        </w:tc>
        <w:tc>
          <w:tcPr>
            <w:tcW w:w="770" w:type="pct"/>
            <w:tcBorders>
              <w:bottom w:val="nil"/>
            </w:tcBorders>
            <w:vAlign w:val="center"/>
          </w:tcPr>
          <w:p w14:paraId="0FBC54D3" w14:textId="476B3C8A"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{"citationItems":[{"id":"ITEM-1","itemData":{"DOI":"10.1007/s00603-018-1725-5","ISBN":"0123456789","ISSN":"1434453X","abstract":"To investigate the role of fissure angle and heat treatment temperature on the mechanical properties and deformation failure behavior, uniaxial compression tests were carried out on granite specimens containing a single fissure. Using stress–strain curves, the peak strength, peak strain, and elastic modulus of the one-fissured granite specimens were analyzed in detail. The mechanical parameters are closely related to the fissure angle and the high temperature. As the fissure angle increases from 0° to 90°, the peak strength and elastic modulus first decrease and then increase, while the peak strain increases slowly. However, the peak strength and elastic modulus first increase and then decrease, while the peak strain first decreases and then increases with increasing treatment temperature. During the experiments, the crack evolution process and acoustic emission (AE) counts were obtained using real-time photography and the AE monitoring technique. In the granite specimens containing a pre-existing fissure, large AE counts are clearly observed before the peak strength, which indicates crack initiation and propagation. The accumulated AE count first increases slowly, but is followed by a sharp increase, with increasing deformation. The AE events in the one-fissured specimen also depend on the heat treatment temperature. As the temperature increases, the rate of increase of the accumulated AE count curve is reduced. Finally, using a digital image correlation method, the full fields of surface deformation were obtained for the entire testing process. In addition, the local strain around the pre-existing fissure was measured using strain gauges. The full strain field and local strain concentration are discussed to describe the fracture mechanism of brittle granite.","author":[{"dropping-particle":"","family":"Yang","given":"Sheng Qi","non-dropping-particle":"","parse-names":false,"suffix":""},{"dropping-particle":"","family":"Huang","given":"Yan Hua","non-dropping-particle":"","parse-names":false,"suffix":""},{"dropping-particle":"","family":"Tian","given":"Wen Ling","non-dropping-particle":"","parse-names":false,"suffix":""},{"dropping-particle":"","family":"Yin","given":"Peng Fei","non-dropping-particle":"","parse-names":false,"suffix":""},{"dropping-particle":"","family":"Jing","given":"Hong Wen","non-dropping-particle":"","parse-names":false,"suffix":""}],"container-title":"Rock Mechanics and Rock Engineering","id":"ITEM-1","issue":"7","issued":{"date-parts":[["2019"]]},"page":"2087-2107","publisher":"Springer Vienna","title":"Effect of High Temperature on Deformation Failure Behavior of Granite Specimen Containing a Single Fissure Under Uniaxial Compression","type":"article-journal","volume":"52"},"uris":["http://www.mendeley.com/documents/?uuid=a2586e30-6c0a-4680-8432-5810faa62f22"]}],"mendeley":{"formattedCitation":"(Yang et al., 2019)","manualFormatting":"Yang et al. (2019","plainTextFormattedCitation":"(Yang et al., 2019)","previouslyFormattedCitation":"(Yang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et al. (2019</w:t>
            </w:r>
            <w:r w:rsidRPr="00803DAB">
              <w:rPr>
                <w:color w:val="auto"/>
                <w:lang w:eastAsia="zh-CN"/>
              </w:rPr>
              <w:fldChar w:fldCharType="end"/>
            </w:r>
            <w:r w:rsidRPr="00803DAB">
              <w:rPr>
                <w:color w:val="auto"/>
                <w:lang w:eastAsia="zh-CN"/>
              </w:rPr>
              <w:t>)</w:t>
            </w:r>
          </w:p>
        </w:tc>
      </w:tr>
      <w:tr w:rsidR="009907BA" w:rsidRPr="00803DAB" w14:paraId="382CCB87" w14:textId="77777777" w:rsidTr="00F87A29">
        <w:tc>
          <w:tcPr>
            <w:tcW w:w="433" w:type="pct"/>
            <w:tcBorders>
              <w:top w:val="nil"/>
              <w:bottom w:val="single" w:sz="4" w:space="0" w:color="auto"/>
            </w:tcBorders>
            <w:vAlign w:val="center"/>
          </w:tcPr>
          <w:p w14:paraId="1E480C87" w14:textId="77777777" w:rsidR="009907BA" w:rsidRPr="00803DAB" w:rsidRDefault="009907BA" w:rsidP="00F87A29">
            <w:pPr>
              <w:pStyle w:val="17-tablecontent"/>
              <w:rPr>
                <w:color w:val="auto"/>
                <w:lang w:eastAsia="zh-CN"/>
              </w:rPr>
            </w:pPr>
            <w:r w:rsidRPr="00803DAB">
              <w:rPr>
                <w:color w:val="auto"/>
                <w:lang w:eastAsia="zh-CN"/>
              </w:rPr>
              <w:t>Granite</w:t>
            </w:r>
          </w:p>
        </w:tc>
        <w:tc>
          <w:tcPr>
            <w:tcW w:w="294" w:type="pct"/>
            <w:tcBorders>
              <w:top w:val="nil"/>
              <w:bottom w:val="single" w:sz="4" w:space="0" w:color="auto"/>
            </w:tcBorders>
            <w:vAlign w:val="center"/>
          </w:tcPr>
          <w:p w14:paraId="4D154AF8" w14:textId="77777777" w:rsidR="009907BA" w:rsidRPr="00803DAB" w:rsidRDefault="009907BA" w:rsidP="00F87A29">
            <w:pPr>
              <w:pStyle w:val="17-tablecontent"/>
              <w:rPr>
                <w:color w:val="auto"/>
                <w:lang w:eastAsia="zh-CN"/>
              </w:rPr>
            </w:pPr>
            <w:r w:rsidRPr="00803DAB">
              <w:rPr>
                <w:color w:val="auto"/>
                <w:lang w:eastAsia="zh-CN"/>
              </w:rPr>
              <w:t>0.61</w:t>
            </w:r>
          </w:p>
        </w:tc>
        <w:tc>
          <w:tcPr>
            <w:tcW w:w="250" w:type="pct"/>
            <w:tcBorders>
              <w:top w:val="nil"/>
              <w:bottom w:val="single" w:sz="4" w:space="0" w:color="auto"/>
            </w:tcBorders>
            <w:vAlign w:val="center"/>
          </w:tcPr>
          <w:p w14:paraId="44E9E136" w14:textId="77777777" w:rsidR="009907BA" w:rsidRPr="00803DAB" w:rsidRDefault="009907BA" w:rsidP="00F87A29">
            <w:pPr>
              <w:pStyle w:val="17-tablecontent"/>
              <w:rPr>
                <w:color w:val="auto"/>
                <w:lang w:eastAsia="zh-CN"/>
              </w:rPr>
            </w:pPr>
          </w:p>
        </w:tc>
        <w:tc>
          <w:tcPr>
            <w:tcW w:w="250" w:type="pct"/>
            <w:tcBorders>
              <w:top w:val="nil"/>
              <w:bottom w:val="single" w:sz="4" w:space="0" w:color="auto"/>
            </w:tcBorders>
            <w:vAlign w:val="center"/>
          </w:tcPr>
          <w:p w14:paraId="5B71BBA4" w14:textId="77777777" w:rsidR="009907BA" w:rsidRPr="00803DAB" w:rsidRDefault="009907BA" w:rsidP="00F87A29">
            <w:pPr>
              <w:pStyle w:val="17-tablecontent"/>
              <w:rPr>
                <w:color w:val="auto"/>
                <w:lang w:eastAsia="zh-CN"/>
              </w:rPr>
            </w:pPr>
            <w:r w:rsidRPr="00803DAB">
              <w:rPr>
                <w:color w:val="auto"/>
                <w:lang w:eastAsia="zh-CN"/>
              </w:rPr>
              <w:t>0.5</w:t>
            </w:r>
          </w:p>
        </w:tc>
        <w:tc>
          <w:tcPr>
            <w:tcW w:w="250" w:type="pct"/>
            <w:tcBorders>
              <w:top w:val="nil"/>
              <w:bottom w:val="single" w:sz="4" w:space="0" w:color="auto"/>
            </w:tcBorders>
            <w:vAlign w:val="center"/>
          </w:tcPr>
          <w:p w14:paraId="3538796A" w14:textId="77777777" w:rsidR="009907BA" w:rsidRPr="00803DAB" w:rsidRDefault="009907BA" w:rsidP="00F87A29">
            <w:pPr>
              <w:pStyle w:val="17-tablecontent"/>
              <w:rPr>
                <w:color w:val="auto"/>
                <w:lang w:eastAsia="zh-CN"/>
              </w:rPr>
            </w:pPr>
            <w:r w:rsidRPr="00803DAB">
              <w:rPr>
                <w:color w:val="auto"/>
                <w:lang w:eastAsia="zh-CN"/>
              </w:rPr>
              <w:t>0.56</w:t>
            </w:r>
          </w:p>
        </w:tc>
        <w:tc>
          <w:tcPr>
            <w:tcW w:w="250" w:type="pct"/>
            <w:tcBorders>
              <w:top w:val="nil"/>
              <w:bottom w:val="single" w:sz="4" w:space="0" w:color="auto"/>
            </w:tcBorders>
            <w:vAlign w:val="center"/>
          </w:tcPr>
          <w:p w14:paraId="5296B47E" w14:textId="77777777" w:rsidR="009907BA" w:rsidRPr="00803DAB" w:rsidRDefault="009907BA" w:rsidP="00F87A29">
            <w:pPr>
              <w:pStyle w:val="17-tablecontent"/>
              <w:rPr>
                <w:color w:val="auto"/>
                <w:lang w:eastAsia="zh-CN"/>
              </w:rPr>
            </w:pPr>
            <w:r w:rsidRPr="00803DAB">
              <w:rPr>
                <w:color w:val="auto"/>
                <w:lang w:eastAsia="zh-CN"/>
              </w:rPr>
              <w:t>0.52</w:t>
            </w:r>
          </w:p>
        </w:tc>
        <w:tc>
          <w:tcPr>
            <w:tcW w:w="250" w:type="pct"/>
            <w:tcBorders>
              <w:top w:val="nil"/>
              <w:bottom w:val="single" w:sz="4" w:space="0" w:color="auto"/>
            </w:tcBorders>
            <w:vAlign w:val="center"/>
          </w:tcPr>
          <w:p w14:paraId="7A972F92" w14:textId="77777777" w:rsidR="009907BA" w:rsidRPr="00803DAB" w:rsidRDefault="009907BA" w:rsidP="00F87A29">
            <w:pPr>
              <w:pStyle w:val="17-tablecontent"/>
              <w:rPr>
                <w:color w:val="auto"/>
                <w:lang w:eastAsia="zh-CN"/>
              </w:rPr>
            </w:pPr>
          </w:p>
        </w:tc>
        <w:tc>
          <w:tcPr>
            <w:tcW w:w="250" w:type="pct"/>
            <w:tcBorders>
              <w:top w:val="nil"/>
              <w:bottom w:val="single" w:sz="4" w:space="0" w:color="auto"/>
            </w:tcBorders>
            <w:vAlign w:val="center"/>
          </w:tcPr>
          <w:p w14:paraId="1508E02A" w14:textId="77777777" w:rsidR="009907BA" w:rsidRPr="00803DAB" w:rsidRDefault="009907BA" w:rsidP="00F87A29">
            <w:pPr>
              <w:pStyle w:val="17-tablecontent"/>
              <w:rPr>
                <w:color w:val="auto"/>
                <w:lang w:eastAsia="zh-CN"/>
              </w:rPr>
            </w:pPr>
            <w:r w:rsidRPr="00803DAB">
              <w:rPr>
                <w:color w:val="auto"/>
                <w:lang w:eastAsia="zh-CN"/>
              </w:rPr>
              <w:t>0.54</w:t>
            </w:r>
          </w:p>
        </w:tc>
        <w:tc>
          <w:tcPr>
            <w:tcW w:w="250" w:type="pct"/>
            <w:tcBorders>
              <w:top w:val="nil"/>
              <w:bottom w:val="single" w:sz="4" w:space="0" w:color="auto"/>
            </w:tcBorders>
            <w:vAlign w:val="center"/>
          </w:tcPr>
          <w:p w14:paraId="108C62EF" w14:textId="77777777" w:rsidR="009907BA" w:rsidRPr="00803DAB" w:rsidRDefault="009907BA" w:rsidP="00F87A29">
            <w:pPr>
              <w:pStyle w:val="17-tablecontent"/>
              <w:rPr>
                <w:color w:val="auto"/>
                <w:lang w:eastAsia="zh-CN"/>
              </w:rPr>
            </w:pPr>
            <w:r w:rsidRPr="00803DAB">
              <w:rPr>
                <w:color w:val="auto"/>
                <w:lang w:eastAsia="zh-CN"/>
              </w:rPr>
              <w:t>0.59</w:t>
            </w:r>
          </w:p>
        </w:tc>
        <w:tc>
          <w:tcPr>
            <w:tcW w:w="250" w:type="pct"/>
            <w:tcBorders>
              <w:top w:val="nil"/>
              <w:bottom w:val="single" w:sz="4" w:space="0" w:color="auto"/>
            </w:tcBorders>
            <w:vAlign w:val="center"/>
          </w:tcPr>
          <w:p w14:paraId="74BC1CB9" w14:textId="77777777" w:rsidR="009907BA" w:rsidRPr="00803DAB" w:rsidRDefault="009907BA" w:rsidP="00F87A29">
            <w:pPr>
              <w:pStyle w:val="17-tablecontent"/>
              <w:rPr>
                <w:color w:val="auto"/>
                <w:lang w:eastAsia="zh-CN"/>
              </w:rPr>
            </w:pPr>
          </w:p>
        </w:tc>
        <w:tc>
          <w:tcPr>
            <w:tcW w:w="250" w:type="pct"/>
            <w:tcBorders>
              <w:top w:val="nil"/>
              <w:left w:val="nil"/>
              <w:bottom w:val="single" w:sz="4" w:space="0" w:color="auto"/>
              <w:right w:val="nil"/>
            </w:tcBorders>
            <w:shd w:val="clear" w:color="auto" w:fill="auto"/>
            <w:vAlign w:val="center"/>
          </w:tcPr>
          <w:p w14:paraId="6FA6E45C" w14:textId="77777777" w:rsidR="009907BA" w:rsidRPr="00803DAB" w:rsidRDefault="009907BA" w:rsidP="00F87A29">
            <w:pPr>
              <w:pStyle w:val="17-tablecontent"/>
              <w:rPr>
                <w:color w:val="auto"/>
                <w:lang w:eastAsia="zh-CN"/>
              </w:rPr>
            </w:pPr>
            <w:r w:rsidRPr="00803DAB">
              <w:rPr>
                <w:color w:val="auto"/>
                <w:lang w:eastAsia="zh-CN"/>
              </w:rPr>
              <w:t xml:space="preserve">0.82 </w:t>
            </w:r>
          </w:p>
        </w:tc>
        <w:tc>
          <w:tcPr>
            <w:tcW w:w="250" w:type="pct"/>
            <w:tcBorders>
              <w:top w:val="nil"/>
              <w:left w:val="nil"/>
              <w:bottom w:val="single" w:sz="4" w:space="0" w:color="auto"/>
              <w:right w:val="nil"/>
            </w:tcBorders>
            <w:shd w:val="clear" w:color="auto" w:fill="auto"/>
            <w:vAlign w:val="center"/>
          </w:tcPr>
          <w:p w14:paraId="709380B3" w14:textId="77777777" w:rsidR="009907BA" w:rsidRPr="00803DAB" w:rsidRDefault="009907BA" w:rsidP="00F87A29">
            <w:pPr>
              <w:pStyle w:val="17-tablecontent"/>
              <w:rPr>
                <w:color w:val="auto"/>
                <w:lang w:eastAsia="zh-CN"/>
              </w:rPr>
            </w:pPr>
            <w:r w:rsidRPr="00803DAB">
              <w:rPr>
                <w:color w:val="auto"/>
                <w:lang w:eastAsia="zh-CN"/>
              </w:rPr>
              <w:t xml:space="preserve">0.92 </w:t>
            </w:r>
          </w:p>
        </w:tc>
        <w:tc>
          <w:tcPr>
            <w:tcW w:w="250" w:type="pct"/>
            <w:tcBorders>
              <w:top w:val="nil"/>
              <w:left w:val="nil"/>
              <w:bottom w:val="single" w:sz="4" w:space="0" w:color="auto"/>
              <w:right w:val="nil"/>
            </w:tcBorders>
            <w:shd w:val="clear" w:color="auto" w:fill="auto"/>
            <w:vAlign w:val="center"/>
          </w:tcPr>
          <w:p w14:paraId="65BD46CA" w14:textId="77777777" w:rsidR="009907BA" w:rsidRPr="00803DAB" w:rsidRDefault="009907BA" w:rsidP="00F87A29">
            <w:pPr>
              <w:pStyle w:val="17-tablecontent"/>
              <w:rPr>
                <w:color w:val="auto"/>
                <w:lang w:eastAsia="zh-CN"/>
              </w:rPr>
            </w:pPr>
            <w:r w:rsidRPr="00803DAB">
              <w:rPr>
                <w:color w:val="auto"/>
                <w:lang w:eastAsia="zh-CN"/>
              </w:rPr>
              <w:t xml:space="preserve">0.85 </w:t>
            </w:r>
          </w:p>
        </w:tc>
        <w:tc>
          <w:tcPr>
            <w:tcW w:w="250" w:type="pct"/>
            <w:tcBorders>
              <w:top w:val="nil"/>
              <w:left w:val="nil"/>
              <w:bottom w:val="single" w:sz="4" w:space="0" w:color="auto"/>
              <w:right w:val="nil"/>
            </w:tcBorders>
            <w:shd w:val="clear" w:color="auto" w:fill="auto"/>
            <w:vAlign w:val="center"/>
          </w:tcPr>
          <w:p w14:paraId="2951A5A6" w14:textId="77777777" w:rsidR="009907BA" w:rsidRPr="00803DAB" w:rsidRDefault="009907BA" w:rsidP="00F87A29">
            <w:pPr>
              <w:pStyle w:val="17-tablecontent"/>
              <w:rPr>
                <w:color w:val="auto"/>
                <w:lang w:eastAsia="zh-CN"/>
              </w:rPr>
            </w:pPr>
          </w:p>
        </w:tc>
        <w:tc>
          <w:tcPr>
            <w:tcW w:w="250" w:type="pct"/>
            <w:tcBorders>
              <w:top w:val="nil"/>
              <w:left w:val="nil"/>
              <w:bottom w:val="single" w:sz="4" w:space="0" w:color="auto"/>
              <w:right w:val="nil"/>
            </w:tcBorders>
            <w:shd w:val="clear" w:color="auto" w:fill="auto"/>
            <w:vAlign w:val="center"/>
          </w:tcPr>
          <w:p w14:paraId="3C4CAB38" w14:textId="77777777" w:rsidR="009907BA" w:rsidRPr="00803DAB" w:rsidRDefault="009907BA" w:rsidP="00F87A29">
            <w:pPr>
              <w:pStyle w:val="17-tablecontent"/>
              <w:rPr>
                <w:color w:val="auto"/>
                <w:lang w:eastAsia="zh-CN"/>
              </w:rPr>
            </w:pPr>
            <w:r w:rsidRPr="00803DAB">
              <w:rPr>
                <w:color w:val="auto"/>
                <w:lang w:eastAsia="zh-CN"/>
              </w:rPr>
              <w:t xml:space="preserve">0.89 </w:t>
            </w:r>
          </w:p>
        </w:tc>
        <w:tc>
          <w:tcPr>
            <w:tcW w:w="250" w:type="pct"/>
            <w:tcBorders>
              <w:top w:val="nil"/>
              <w:left w:val="nil"/>
              <w:bottom w:val="single" w:sz="4" w:space="0" w:color="auto"/>
              <w:right w:val="nil"/>
            </w:tcBorders>
            <w:shd w:val="clear" w:color="auto" w:fill="auto"/>
            <w:vAlign w:val="center"/>
          </w:tcPr>
          <w:p w14:paraId="64515BFB" w14:textId="77777777" w:rsidR="009907BA" w:rsidRPr="00803DAB" w:rsidRDefault="009907BA" w:rsidP="00F87A29">
            <w:pPr>
              <w:pStyle w:val="17-tablecontent"/>
              <w:rPr>
                <w:color w:val="auto"/>
                <w:lang w:eastAsia="zh-CN"/>
              </w:rPr>
            </w:pPr>
            <w:r w:rsidRPr="00803DAB">
              <w:rPr>
                <w:color w:val="auto"/>
                <w:lang w:eastAsia="zh-CN"/>
              </w:rPr>
              <w:t xml:space="preserve">0.97 </w:t>
            </w:r>
          </w:p>
        </w:tc>
        <w:tc>
          <w:tcPr>
            <w:tcW w:w="770" w:type="pct"/>
            <w:tcBorders>
              <w:top w:val="nil"/>
              <w:bottom w:val="single" w:sz="4" w:space="0" w:color="auto"/>
            </w:tcBorders>
            <w:vAlign w:val="center"/>
          </w:tcPr>
          <w:p w14:paraId="2042A7D1" w14:textId="5BB81B59"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{"citationItems":[{"id":"ITEM-1","itemData":{"DOI":"10.1007/s00603-018-1725-5","ISBN":"0123456789","ISSN":"1434453X","abstract":"To investigate the role of fissure angle and heat treatment temperature on the mechanical properties and deformation failure behavior, uniaxial compression tests were carried out on granite specimens containing a single fissure. Using stress–strain curves, the peak strength, peak strain, and elastic modulus of the one-fissured granite specimens were analyzed in detail. The mechanical parameters are closely related to the fissure angle and the high temperature. As the fissure angle increases from 0° to 90°, the peak strength and elastic modulus first decrease and then increase, while the peak strain increases slowly. However, the peak strength and elastic modulus first increase and then decrease, while the peak strain first decreases and then increases with increasing treatment temperature. During the experiments, the crack evolution process and acoustic emission (AE) counts were obtained using real-time photography and the AE monitoring technique. In the granite specimens containing a pre-existing fissure, large AE counts are clearly observed before the peak strength, which indicates crack initiation and propagation. The accumulated AE count first increases slowly, but is followed by a sharp increase, with increasing deformation. The AE events in the one-fissured specimen also depend on the heat treatment temperature. As the temperature increases, the rate of increase of the accumulated AE count curve is reduced. Finally, using a digital image correlation method, the full fields of surface deformation were obtained for the entire testing process. In addition, the local strain around the pre-existing fissure was measured using strain gauges. The full strain field and local strain concentration are discussed to describe the fracture mechanism of brittle granite.","author":[{"dropping-particle":"","family":"Yang","given":"Sheng Qi","non-dropping-particle":"","parse-names":false,"suffix":""},{"dropping-particle":"","family":"Huang","given":"Yan Hua","non-dropping-particle":"","parse-names":false,"suffix":""},{"dropping-particle":"","family":"Tian","given":"Wen Ling","non-dropping-particle":"","parse-names":false,"suffix":""},{"dropping-particle":"","family":"Yin","given":"Peng Fei","non-dropping-particle":"","parse-names":false,"suffix":""},{"dropping-particle":"","family":"Jing","given":"Hong Wen","non-dropping-particle":"","parse-names":false,"suffix":""}],"container-title":"Rock Mechanics and Rock Engineering","id":"ITEM-1","issue":"7","issued":{"date-parts":[["2019"]]},"page":"2087-2107","publisher":"Springer Vienna","title":"Effect of High Temperature on Deformation Failure Behavior of Granite Specimen Containing a Single Fissure Under Uniaxial Compression","type":"article-journal","volume":"52"},"uris":["http://www.mendeley.com/documents/?uuid=a2586e30-6c0a-4680-8432-5810faa62f22"]}],"mendeley":{"formattedCitation":"(Yang et al., 2019)","manualFormatting":"Yang et al. (2019","plainTextFormattedCitation":"(Yang et al., 2019)","previouslyFormattedCitation":"(Yang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Yang et al. (2019</w:t>
            </w:r>
            <w:r w:rsidRPr="00803DAB">
              <w:rPr>
                <w:color w:val="auto"/>
                <w:lang w:eastAsia="zh-CN"/>
              </w:rPr>
              <w:fldChar w:fldCharType="end"/>
            </w:r>
            <w:r w:rsidRPr="00803DAB">
              <w:rPr>
                <w:color w:val="auto"/>
                <w:lang w:eastAsia="zh-CN"/>
              </w:rPr>
              <w:t>)</w:t>
            </w:r>
          </w:p>
        </w:tc>
      </w:tr>
    </w:tbl>
    <w:p w14:paraId="2988C247" w14:textId="77777777" w:rsidR="009907BA" w:rsidRPr="00803DAB" w:rsidRDefault="009907BA" w:rsidP="009907BA">
      <w:pPr>
        <w:pStyle w:val="18-tablenote"/>
        <w:rPr>
          <w:color w:val="auto"/>
          <w:lang w:eastAsia="zh-CN"/>
        </w:rPr>
      </w:pPr>
      <w:r w:rsidRPr="00803DAB">
        <w:rPr>
          <w:color w:val="auto"/>
          <w:lang w:eastAsia="zh-CN"/>
        </w:rPr>
        <w:t xml:space="preserve">Note: </w:t>
      </w:r>
      <w:r w:rsidRPr="00803DAB">
        <w:rPr>
          <w:i/>
          <w:iCs/>
          <w:color w:val="auto"/>
          <w:lang w:eastAsia="zh-CN"/>
        </w:rPr>
        <w:sym w:font="Symbol" w:char="F065"/>
      </w:r>
      <w:r w:rsidRPr="00803DAB">
        <w:rPr>
          <w:color w:val="auto"/>
          <w:vertAlign w:val="subscript"/>
          <w:lang w:eastAsia="zh-CN"/>
        </w:rPr>
        <w:t>i</w:t>
      </w:r>
      <w:r w:rsidRPr="00803DAB">
        <w:rPr>
          <w:color w:val="auto"/>
          <w:lang w:eastAsia="zh-CN"/>
        </w:rPr>
        <w:t xml:space="preserve"> is the elastic modulus of intact samples, </w:t>
      </w:r>
      <w:r w:rsidRPr="00803DAB">
        <w:rPr>
          <w:i/>
          <w:iCs/>
          <w:color w:val="auto"/>
          <w:lang w:eastAsia="zh-CN"/>
        </w:rPr>
        <w:sym w:font="Symbol" w:char="F065"/>
      </w:r>
      <w:r w:rsidRPr="00803DAB">
        <w:rPr>
          <w:color w:val="auto"/>
          <w:vertAlign w:val="subscript"/>
          <w:lang w:eastAsia="zh-CN"/>
        </w:rPr>
        <w:t>c</w:t>
      </w:r>
      <w:r w:rsidRPr="00803DAB">
        <w:rPr>
          <w:color w:val="auto"/>
          <w:lang w:eastAsia="zh-CN"/>
        </w:rPr>
        <w:t xml:space="preserve"> is the elastic modulus of pre-cracked samples.</w:t>
      </w:r>
    </w:p>
    <w:p w14:paraId="7E91D529" w14:textId="77777777" w:rsidR="009907BA" w:rsidRPr="00803DAB" w:rsidRDefault="009907BA" w:rsidP="009907BA">
      <w:pPr>
        <w:pStyle w:val="11-maintext"/>
        <w:ind w:firstLine="320"/>
        <w:rPr>
          <w:rFonts w:eastAsia="DengXian"/>
          <w:color w:val="auto"/>
          <w:lang w:eastAsia="zh-CN"/>
        </w:rPr>
      </w:pPr>
    </w:p>
    <w:p w14:paraId="3BAB8F04" w14:textId="77777777" w:rsidR="009907BA" w:rsidRPr="00803DAB" w:rsidRDefault="009907BA" w:rsidP="009907BA">
      <w:pPr>
        <w:pStyle w:val="11-maintext"/>
        <w:ind w:firstLine="320"/>
        <w:rPr>
          <w:rFonts w:eastAsia="DengXian"/>
          <w:color w:val="auto"/>
          <w:lang w:eastAsia="zh-CN"/>
        </w:rPr>
      </w:pPr>
    </w:p>
    <w:p w14:paraId="3F9A4F84" w14:textId="77777777" w:rsidR="009907BA" w:rsidRPr="00803DAB" w:rsidRDefault="009907BA" w:rsidP="009907BA">
      <w:pPr>
        <w:pStyle w:val="15-table"/>
        <w:rPr>
          <w:color w:val="auto"/>
          <w:lang w:eastAsia="zh-CN"/>
        </w:rPr>
      </w:pPr>
      <w:r w:rsidRPr="00803DAB">
        <w:rPr>
          <w:color w:val="auto"/>
          <w:lang w:eastAsia="zh-CN"/>
        </w:rPr>
        <w:t>Table A4</w:t>
      </w:r>
    </w:p>
    <w:p w14:paraId="1DE9443C" w14:textId="77777777" w:rsidR="009907BA" w:rsidRPr="00803DAB" w:rsidRDefault="009907BA" w:rsidP="009907BA">
      <w:pPr>
        <w:pStyle w:val="16-tablecaption"/>
        <w:rPr>
          <w:color w:val="auto"/>
          <w:lang w:eastAsia="zh-CN"/>
        </w:rPr>
      </w:pPr>
      <w:r w:rsidRPr="00803DAB">
        <w:rPr>
          <w:color w:val="auto"/>
          <w:lang w:eastAsia="zh-CN"/>
        </w:rPr>
        <w:t>Crack initiation stress and initiation angle of samples containing a single flaw.</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614"/>
        <w:gridCol w:w="459"/>
        <w:gridCol w:w="531"/>
        <w:gridCol w:w="531"/>
        <w:gridCol w:w="459"/>
        <w:gridCol w:w="459"/>
        <w:gridCol w:w="459"/>
        <w:gridCol w:w="459"/>
        <w:gridCol w:w="459"/>
        <w:gridCol w:w="459"/>
        <w:gridCol w:w="459"/>
        <w:gridCol w:w="459"/>
        <w:gridCol w:w="459"/>
        <w:gridCol w:w="459"/>
        <w:gridCol w:w="459"/>
        <w:gridCol w:w="1476"/>
      </w:tblGrid>
      <w:tr w:rsidR="009907BA" w:rsidRPr="00803DAB" w14:paraId="3D0E5DEF" w14:textId="77777777" w:rsidTr="00F87A29">
        <w:tc>
          <w:tcPr>
            <w:tcW w:w="584" w:type="pct"/>
            <w:vMerge w:val="restart"/>
            <w:tcBorders>
              <w:top w:val="single" w:sz="4" w:space="0" w:color="auto"/>
              <w:bottom w:val="single" w:sz="4" w:space="0" w:color="auto"/>
            </w:tcBorders>
            <w:vAlign w:val="center"/>
          </w:tcPr>
          <w:p w14:paraId="18EB7E00" w14:textId="77777777" w:rsidR="009907BA" w:rsidRPr="00803DAB" w:rsidRDefault="009907BA" w:rsidP="00F87A29">
            <w:pPr>
              <w:pStyle w:val="17-tablecontent"/>
              <w:rPr>
                <w:color w:val="auto"/>
                <w:lang w:eastAsia="zh-CN"/>
              </w:rPr>
            </w:pPr>
            <w:r w:rsidRPr="00803DAB">
              <w:rPr>
                <w:color w:val="auto"/>
                <w:lang w:eastAsia="zh-CN"/>
              </w:rPr>
              <w:t>Material</w:t>
            </w:r>
          </w:p>
        </w:tc>
        <w:tc>
          <w:tcPr>
            <w:tcW w:w="339" w:type="pct"/>
            <w:vMerge w:val="restart"/>
            <w:tcBorders>
              <w:top w:val="single" w:sz="4" w:space="0" w:color="auto"/>
              <w:bottom w:val="single" w:sz="4" w:space="0" w:color="auto"/>
            </w:tcBorders>
            <w:vAlign w:val="center"/>
          </w:tcPr>
          <w:p w14:paraId="1D4D956D" w14:textId="77777777" w:rsidR="009907BA" w:rsidRPr="00803DAB" w:rsidRDefault="009907BA" w:rsidP="00F87A29">
            <w:pPr>
              <w:pStyle w:val="17-tablecontent"/>
              <w:rPr>
                <w:color w:val="auto"/>
                <w:lang w:eastAsia="zh-CN"/>
              </w:rPr>
            </w:pPr>
            <w:r w:rsidRPr="00803DAB">
              <w:rPr>
                <w:rFonts w:ascii="Times New Roman" w:hAnsi="Times New Roman"/>
                <w:i/>
                <w:iCs/>
                <w:color w:val="auto"/>
                <w:lang w:eastAsia="zh-CN"/>
              </w:rPr>
              <w:t>σ</w:t>
            </w:r>
            <w:r w:rsidRPr="00803DAB">
              <w:rPr>
                <w:color w:val="auto"/>
                <w:vertAlign w:val="subscript"/>
                <w:lang w:eastAsia="zh-CN"/>
              </w:rPr>
              <w:t>p</w:t>
            </w:r>
            <w:r w:rsidRPr="00803DAB">
              <w:rPr>
                <w:i/>
                <w:iCs/>
                <w:color w:val="auto"/>
                <w:vertAlign w:val="subscript"/>
                <w:lang w:eastAsia="zh-CN"/>
              </w:rPr>
              <w:t xml:space="preserve"> </w:t>
            </w:r>
            <w:r w:rsidRPr="00803DAB">
              <w:rPr>
                <w:color w:val="auto"/>
                <w:lang w:eastAsia="zh-CN"/>
              </w:rPr>
              <w:t>(MPa)</w:t>
            </w:r>
          </w:p>
        </w:tc>
        <w:tc>
          <w:tcPr>
            <w:tcW w:w="1684" w:type="pct"/>
            <w:gridSpan w:val="7"/>
            <w:tcBorders>
              <w:top w:val="single" w:sz="4" w:space="0" w:color="auto"/>
              <w:bottom w:val="single" w:sz="4" w:space="0" w:color="auto"/>
            </w:tcBorders>
            <w:vAlign w:val="center"/>
          </w:tcPr>
          <w:p w14:paraId="446A3EC1" w14:textId="77777777" w:rsidR="009907BA" w:rsidRPr="00803DAB" w:rsidRDefault="009907BA" w:rsidP="00F87A29">
            <w:pPr>
              <w:pStyle w:val="17-tablecontent"/>
              <w:rPr>
                <w:i/>
                <w:iCs/>
                <w:color w:val="auto"/>
                <w:lang w:eastAsia="zh-CN"/>
              </w:rPr>
            </w:pPr>
            <w:r w:rsidRPr="00803DAB">
              <w:rPr>
                <w:i/>
                <w:iCs/>
                <w:color w:val="auto"/>
                <w:lang w:eastAsia="zh-CN"/>
              </w:rPr>
              <w:t>β</w:t>
            </w:r>
            <w:r w:rsidRPr="00803DAB">
              <w:rPr>
                <w:color w:val="auto"/>
                <w:lang w:eastAsia="zh-CN"/>
              </w:rPr>
              <w:t xml:space="preserve"> (°)</w:t>
            </w:r>
          </w:p>
        </w:tc>
        <w:tc>
          <w:tcPr>
            <w:tcW w:w="1612" w:type="pct"/>
            <w:gridSpan w:val="7"/>
            <w:tcBorders>
              <w:top w:val="single" w:sz="4" w:space="0" w:color="auto"/>
              <w:bottom w:val="single" w:sz="4" w:space="0" w:color="auto"/>
            </w:tcBorders>
            <w:vAlign w:val="center"/>
          </w:tcPr>
          <w:p w14:paraId="3AF648E2" w14:textId="77777777" w:rsidR="009907BA" w:rsidRPr="00803DAB" w:rsidRDefault="009907BA" w:rsidP="00F87A29">
            <w:pPr>
              <w:pStyle w:val="17-tablecontent"/>
              <w:rPr>
                <w:color w:val="auto"/>
                <w:lang w:eastAsia="zh-CN"/>
              </w:rPr>
            </w:pPr>
            <w:r w:rsidRPr="00803DAB">
              <w:rPr>
                <w:rFonts w:ascii="Times New Roman" w:hAnsi="Times New Roman"/>
                <w:i/>
                <w:color w:val="auto"/>
                <w:lang w:eastAsia="zh-CN"/>
              </w:rPr>
              <w:t>σ</w:t>
            </w:r>
            <w:r w:rsidRPr="00803DAB">
              <w:rPr>
                <w:color w:val="auto"/>
                <w:vertAlign w:val="subscript"/>
                <w:lang w:eastAsia="zh-CN"/>
              </w:rPr>
              <w:t>ci</w:t>
            </w:r>
            <w:r w:rsidRPr="00803DAB">
              <w:rPr>
                <w:color w:val="auto"/>
                <w:lang w:eastAsia="zh-CN"/>
              </w:rPr>
              <w:t xml:space="preserve"> /</w:t>
            </w:r>
            <w:r w:rsidRPr="00803DAB">
              <w:rPr>
                <w:rFonts w:ascii="Times New Roman" w:hAnsi="Times New Roman"/>
                <w:i/>
                <w:color w:val="auto"/>
                <w:lang w:eastAsia="zh-CN"/>
              </w:rPr>
              <w:t>σ</w:t>
            </w:r>
            <w:r w:rsidRPr="00803DAB">
              <w:rPr>
                <w:color w:val="auto"/>
                <w:vertAlign w:val="subscript"/>
                <w:lang w:eastAsia="zh-CN"/>
              </w:rPr>
              <w:t>p</w:t>
            </w:r>
          </w:p>
        </w:tc>
        <w:tc>
          <w:tcPr>
            <w:tcW w:w="782" w:type="pct"/>
            <w:vMerge w:val="restart"/>
            <w:tcBorders>
              <w:top w:val="single" w:sz="4" w:space="0" w:color="auto"/>
              <w:bottom w:val="single" w:sz="4" w:space="0" w:color="auto"/>
            </w:tcBorders>
            <w:vAlign w:val="center"/>
          </w:tcPr>
          <w:p w14:paraId="1556C69E" w14:textId="77777777" w:rsidR="009907BA" w:rsidRPr="00803DAB" w:rsidRDefault="009907BA" w:rsidP="00F87A29">
            <w:pPr>
              <w:pStyle w:val="17-tablecontent"/>
              <w:rPr>
                <w:color w:val="auto"/>
                <w:lang w:eastAsia="zh-CN"/>
              </w:rPr>
            </w:pPr>
            <w:r w:rsidRPr="00803DAB">
              <w:rPr>
                <w:color w:val="auto"/>
                <w:lang w:eastAsia="zh-CN"/>
              </w:rPr>
              <w:t>Source</w:t>
            </w:r>
          </w:p>
        </w:tc>
      </w:tr>
      <w:tr w:rsidR="009907BA" w:rsidRPr="00803DAB" w14:paraId="6CAEECC3" w14:textId="77777777" w:rsidTr="00F87A29">
        <w:tc>
          <w:tcPr>
            <w:tcW w:w="584" w:type="pct"/>
            <w:vMerge/>
            <w:tcBorders>
              <w:top w:val="nil"/>
              <w:bottom w:val="single" w:sz="4" w:space="0" w:color="auto"/>
            </w:tcBorders>
            <w:vAlign w:val="center"/>
          </w:tcPr>
          <w:p w14:paraId="6B367F0D" w14:textId="77777777" w:rsidR="009907BA" w:rsidRPr="00803DAB" w:rsidRDefault="009907BA" w:rsidP="00F87A29">
            <w:pPr>
              <w:pStyle w:val="17-tablecontent"/>
              <w:rPr>
                <w:color w:val="auto"/>
                <w:lang w:eastAsia="zh-CN"/>
              </w:rPr>
            </w:pPr>
          </w:p>
        </w:tc>
        <w:tc>
          <w:tcPr>
            <w:tcW w:w="339" w:type="pct"/>
            <w:vMerge/>
            <w:tcBorders>
              <w:top w:val="nil"/>
              <w:bottom w:val="single" w:sz="4" w:space="0" w:color="auto"/>
            </w:tcBorders>
            <w:vAlign w:val="center"/>
          </w:tcPr>
          <w:p w14:paraId="24B4FEC6" w14:textId="77777777" w:rsidR="009907BA" w:rsidRPr="00803DAB" w:rsidRDefault="009907BA" w:rsidP="00F87A29">
            <w:pPr>
              <w:pStyle w:val="17-tablecontent"/>
              <w:rPr>
                <w:color w:val="auto"/>
                <w:lang w:eastAsia="zh-CN"/>
              </w:rPr>
            </w:pPr>
          </w:p>
        </w:tc>
        <w:tc>
          <w:tcPr>
            <w:tcW w:w="230" w:type="pct"/>
            <w:tcBorders>
              <w:top w:val="single" w:sz="4" w:space="0" w:color="auto"/>
              <w:bottom w:val="single" w:sz="4" w:space="0" w:color="auto"/>
            </w:tcBorders>
            <w:vAlign w:val="center"/>
          </w:tcPr>
          <w:p w14:paraId="4E9EBEE1" w14:textId="77777777" w:rsidR="009907BA" w:rsidRPr="00803DAB" w:rsidRDefault="009907BA" w:rsidP="00F87A29">
            <w:pPr>
              <w:pStyle w:val="17-tablecontent"/>
              <w:rPr>
                <w:color w:val="auto"/>
                <w:lang w:eastAsia="zh-CN"/>
              </w:rPr>
            </w:pPr>
            <w:r w:rsidRPr="00803DAB">
              <w:rPr>
                <w:color w:val="auto"/>
                <w:lang w:eastAsia="zh-CN"/>
              </w:rPr>
              <w:t>0°</w:t>
            </w:r>
          </w:p>
        </w:tc>
        <w:tc>
          <w:tcPr>
            <w:tcW w:w="266" w:type="pct"/>
            <w:tcBorders>
              <w:top w:val="single" w:sz="4" w:space="0" w:color="auto"/>
              <w:bottom w:val="single" w:sz="4" w:space="0" w:color="auto"/>
            </w:tcBorders>
            <w:vAlign w:val="center"/>
          </w:tcPr>
          <w:p w14:paraId="3B0DAC7C" w14:textId="77777777" w:rsidR="009907BA" w:rsidRPr="00803DAB" w:rsidRDefault="009907BA" w:rsidP="00F87A29">
            <w:pPr>
              <w:pStyle w:val="17-tablecontent"/>
              <w:rPr>
                <w:color w:val="auto"/>
                <w:lang w:eastAsia="zh-CN"/>
              </w:rPr>
            </w:pPr>
            <w:r w:rsidRPr="00803DAB">
              <w:rPr>
                <w:color w:val="auto"/>
                <w:lang w:eastAsia="zh-CN"/>
              </w:rPr>
              <w:t>15°</w:t>
            </w:r>
          </w:p>
        </w:tc>
        <w:tc>
          <w:tcPr>
            <w:tcW w:w="266" w:type="pct"/>
            <w:tcBorders>
              <w:top w:val="single" w:sz="4" w:space="0" w:color="auto"/>
              <w:bottom w:val="single" w:sz="4" w:space="0" w:color="auto"/>
            </w:tcBorders>
            <w:vAlign w:val="center"/>
          </w:tcPr>
          <w:p w14:paraId="169ED65C" w14:textId="77777777" w:rsidR="009907BA" w:rsidRPr="00803DAB" w:rsidRDefault="009907BA" w:rsidP="00F87A29">
            <w:pPr>
              <w:pStyle w:val="17-tablecontent"/>
              <w:rPr>
                <w:color w:val="auto"/>
                <w:lang w:eastAsia="zh-CN"/>
              </w:rPr>
            </w:pPr>
            <w:r w:rsidRPr="00803DAB">
              <w:rPr>
                <w:color w:val="auto"/>
                <w:lang w:eastAsia="zh-CN"/>
              </w:rPr>
              <w:t>30°</w:t>
            </w:r>
          </w:p>
        </w:tc>
        <w:tc>
          <w:tcPr>
            <w:tcW w:w="230" w:type="pct"/>
            <w:tcBorders>
              <w:top w:val="single" w:sz="4" w:space="0" w:color="auto"/>
              <w:bottom w:val="single" w:sz="4" w:space="0" w:color="auto"/>
            </w:tcBorders>
            <w:vAlign w:val="center"/>
          </w:tcPr>
          <w:p w14:paraId="66923B92" w14:textId="77777777" w:rsidR="009907BA" w:rsidRPr="00803DAB" w:rsidRDefault="009907BA" w:rsidP="00F87A29">
            <w:pPr>
              <w:pStyle w:val="17-tablecontent"/>
              <w:rPr>
                <w:color w:val="auto"/>
                <w:lang w:eastAsia="zh-CN"/>
              </w:rPr>
            </w:pPr>
            <w:r w:rsidRPr="00803DAB">
              <w:rPr>
                <w:color w:val="auto"/>
                <w:lang w:eastAsia="zh-CN"/>
              </w:rPr>
              <w:t>45°</w:t>
            </w:r>
          </w:p>
        </w:tc>
        <w:tc>
          <w:tcPr>
            <w:tcW w:w="230" w:type="pct"/>
            <w:tcBorders>
              <w:top w:val="single" w:sz="4" w:space="0" w:color="auto"/>
              <w:bottom w:val="single" w:sz="4" w:space="0" w:color="auto"/>
            </w:tcBorders>
            <w:vAlign w:val="center"/>
          </w:tcPr>
          <w:p w14:paraId="13043A11" w14:textId="77777777" w:rsidR="009907BA" w:rsidRPr="00803DAB" w:rsidRDefault="009907BA" w:rsidP="00F87A29">
            <w:pPr>
              <w:pStyle w:val="17-tablecontent"/>
              <w:rPr>
                <w:color w:val="auto"/>
                <w:lang w:eastAsia="zh-CN"/>
              </w:rPr>
            </w:pPr>
            <w:r w:rsidRPr="00803DAB">
              <w:rPr>
                <w:color w:val="auto"/>
                <w:lang w:eastAsia="zh-CN"/>
              </w:rPr>
              <w:t>60°</w:t>
            </w:r>
          </w:p>
        </w:tc>
        <w:tc>
          <w:tcPr>
            <w:tcW w:w="230" w:type="pct"/>
            <w:tcBorders>
              <w:top w:val="single" w:sz="4" w:space="0" w:color="auto"/>
              <w:bottom w:val="single" w:sz="4" w:space="0" w:color="auto"/>
            </w:tcBorders>
            <w:vAlign w:val="center"/>
          </w:tcPr>
          <w:p w14:paraId="2434527A" w14:textId="77777777" w:rsidR="009907BA" w:rsidRPr="00803DAB" w:rsidRDefault="009907BA" w:rsidP="00F87A29">
            <w:pPr>
              <w:pStyle w:val="17-tablecontent"/>
              <w:rPr>
                <w:color w:val="auto"/>
                <w:lang w:eastAsia="zh-CN"/>
              </w:rPr>
            </w:pPr>
            <w:r w:rsidRPr="00803DAB">
              <w:rPr>
                <w:color w:val="auto"/>
                <w:lang w:eastAsia="zh-CN"/>
              </w:rPr>
              <w:t>75°</w:t>
            </w:r>
          </w:p>
        </w:tc>
        <w:tc>
          <w:tcPr>
            <w:tcW w:w="230" w:type="pct"/>
            <w:tcBorders>
              <w:top w:val="single" w:sz="4" w:space="0" w:color="auto"/>
              <w:bottom w:val="single" w:sz="4" w:space="0" w:color="auto"/>
            </w:tcBorders>
            <w:vAlign w:val="center"/>
          </w:tcPr>
          <w:p w14:paraId="064CE3EC" w14:textId="77777777" w:rsidR="009907BA" w:rsidRPr="00803DAB" w:rsidRDefault="009907BA" w:rsidP="00F87A29">
            <w:pPr>
              <w:pStyle w:val="17-tablecontent"/>
              <w:rPr>
                <w:color w:val="auto"/>
                <w:lang w:eastAsia="zh-CN"/>
              </w:rPr>
            </w:pPr>
            <w:r w:rsidRPr="00803DAB">
              <w:rPr>
                <w:color w:val="auto"/>
                <w:lang w:eastAsia="zh-CN"/>
              </w:rPr>
              <w:t>90°</w:t>
            </w:r>
          </w:p>
        </w:tc>
        <w:tc>
          <w:tcPr>
            <w:tcW w:w="230" w:type="pct"/>
            <w:tcBorders>
              <w:top w:val="single" w:sz="4" w:space="0" w:color="auto"/>
              <w:bottom w:val="single" w:sz="4" w:space="0" w:color="auto"/>
            </w:tcBorders>
            <w:vAlign w:val="center"/>
          </w:tcPr>
          <w:p w14:paraId="4ED080CB" w14:textId="77777777" w:rsidR="009907BA" w:rsidRPr="00803DAB" w:rsidRDefault="009907BA" w:rsidP="00F87A29">
            <w:pPr>
              <w:pStyle w:val="17-tablecontent"/>
              <w:rPr>
                <w:color w:val="auto"/>
                <w:lang w:eastAsia="zh-CN"/>
              </w:rPr>
            </w:pPr>
            <w:r w:rsidRPr="00803DAB">
              <w:rPr>
                <w:color w:val="auto"/>
                <w:lang w:eastAsia="zh-CN"/>
              </w:rPr>
              <w:t>0°</w:t>
            </w:r>
          </w:p>
        </w:tc>
        <w:tc>
          <w:tcPr>
            <w:tcW w:w="230" w:type="pct"/>
            <w:tcBorders>
              <w:top w:val="single" w:sz="4" w:space="0" w:color="auto"/>
              <w:bottom w:val="single" w:sz="4" w:space="0" w:color="auto"/>
            </w:tcBorders>
            <w:vAlign w:val="center"/>
          </w:tcPr>
          <w:p w14:paraId="2FE9BE18" w14:textId="77777777" w:rsidR="009907BA" w:rsidRPr="00803DAB" w:rsidRDefault="009907BA" w:rsidP="00F87A29">
            <w:pPr>
              <w:pStyle w:val="17-tablecontent"/>
              <w:rPr>
                <w:color w:val="auto"/>
                <w:lang w:eastAsia="zh-CN"/>
              </w:rPr>
            </w:pPr>
            <w:r w:rsidRPr="00803DAB">
              <w:rPr>
                <w:color w:val="auto"/>
                <w:lang w:eastAsia="zh-CN"/>
              </w:rPr>
              <w:t>15°</w:t>
            </w:r>
          </w:p>
        </w:tc>
        <w:tc>
          <w:tcPr>
            <w:tcW w:w="230" w:type="pct"/>
            <w:tcBorders>
              <w:top w:val="single" w:sz="4" w:space="0" w:color="auto"/>
              <w:bottom w:val="single" w:sz="4" w:space="0" w:color="auto"/>
            </w:tcBorders>
            <w:vAlign w:val="center"/>
          </w:tcPr>
          <w:p w14:paraId="352E6A19" w14:textId="77777777" w:rsidR="009907BA" w:rsidRPr="00803DAB" w:rsidRDefault="009907BA" w:rsidP="00F87A29">
            <w:pPr>
              <w:pStyle w:val="17-tablecontent"/>
              <w:rPr>
                <w:color w:val="auto"/>
                <w:lang w:eastAsia="zh-CN"/>
              </w:rPr>
            </w:pPr>
            <w:r w:rsidRPr="00803DAB">
              <w:rPr>
                <w:color w:val="auto"/>
                <w:lang w:eastAsia="zh-CN"/>
              </w:rPr>
              <w:t>30°</w:t>
            </w:r>
          </w:p>
        </w:tc>
        <w:tc>
          <w:tcPr>
            <w:tcW w:w="230" w:type="pct"/>
            <w:tcBorders>
              <w:top w:val="single" w:sz="4" w:space="0" w:color="auto"/>
              <w:bottom w:val="single" w:sz="4" w:space="0" w:color="auto"/>
            </w:tcBorders>
            <w:vAlign w:val="center"/>
          </w:tcPr>
          <w:p w14:paraId="50A91095" w14:textId="77777777" w:rsidR="009907BA" w:rsidRPr="00803DAB" w:rsidRDefault="009907BA" w:rsidP="00F87A29">
            <w:pPr>
              <w:pStyle w:val="17-tablecontent"/>
              <w:rPr>
                <w:color w:val="auto"/>
                <w:lang w:eastAsia="zh-CN"/>
              </w:rPr>
            </w:pPr>
            <w:r w:rsidRPr="00803DAB">
              <w:rPr>
                <w:color w:val="auto"/>
                <w:lang w:eastAsia="zh-CN"/>
              </w:rPr>
              <w:t>45°</w:t>
            </w:r>
          </w:p>
        </w:tc>
        <w:tc>
          <w:tcPr>
            <w:tcW w:w="230" w:type="pct"/>
            <w:tcBorders>
              <w:top w:val="single" w:sz="4" w:space="0" w:color="auto"/>
              <w:bottom w:val="single" w:sz="4" w:space="0" w:color="auto"/>
            </w:tcBorders>
            <w:vAlign w:val="center"/>
          </w:tcPr>
          <w:p w14:paraId="00EDF342" w14:textId="77777777" w:rsidR="009907BA" w:rsidRPr="00803DAB" w:rsidRDefault="009907BA" w:rsidP="00F87A29">
            <w:pPr>
              <w:pStyle w:val="17-tablecontent"/>
              <w:rPr>
                <w:color w:val="auto"/>
                <w:lang w:eastAsia="zh-CN"/>
              </w:rPr>
            </w:pPr>
            <w:r w:rsidRPr="00803DAB">
              <w:rPr>
                <w:color w:val="auto"/>
                <w:lang w:eastAsia="zh-CN"/>
              </w:rPr>
              <w:t>60°</w:t>
            </w:r>
          </w:p>
        </w:tc>
        <w:tc>
          <w:tcPr>
            <w:tcW w:w="230" w:type="pct"/>
            <w:tcBorders>
              <w:top w:val="single" w:sz="4" w:space="0" w:color="auto"/>
              <w:bottom w:val="single" w:sz="4" w:space="0" w:color="auto"/>
            </w:tcBorders>
            <w:vAlign w:val="center"/>
          </w:tcPr>
          <w:p w14:paraId="4399D742" w14:textId="77777777" w:rsidR="009907BA" w:rsidRPr="00803DAB" w:rsidRDefault="009907BA" w:rsidP="00F87A29">
            <w:pPr>
              <w:pStyle w:val="17-tablecontent"/>
              <w:rPr>
                <w:color w:val="auto"/>
                <w:lang w:eastAsia="zh-CN"/>
              </w:rPr>
            </w:pPr>
            <w:r w:rsidRPr="00803DAB">
              <w:rPr>
                <w:color w:val="auto"/>
                <w:lang w:eastAsia="zh-CN"/>
              </w:rPr>
              <w:t>75°</w:t>
            </w:r>
          </w:p>
        </w:tc>
        <w:tc>
          <w:tcPr>
            <w:tcW w:w="230" w:type="pct"/>
            <w:tcBorders>
              <w:top w:val="single" w:sz="4" w:space="0" w:color="auto"/>
              <w:bottom w:val="single" w:sz="4" w:space="0" w:color="auto"/>
            </w:tcBorders>
            <w:vAlign w:val="center"/>
          </w:tcPr>
          <w:p w14:paraId="7FE3E63A" w14:textId="77777777" w:rsidR="009907BA" w:rsidRPr="00803DAB" w:rsidRDefault="009907BA" w:rsidP="00F87A29">
            <w:pPr>
              <w:pStyle w:val="17-tablecontent"/>
              <w:rPr>
                <w:color w:val="auto"/>
                <w:lang w:eastAsia="zh-CN"/>
              </w:rPr>
            </w:pPr>
            <w:r w:rsidRPr="00803DAB">
              <w:rPr>
                <w:color w:val="auto"/>
                <w:lang w:eastAsia="zh-CN"/>
              </w:rPr>
              <w:t>90°</w:t>
            </w:r>
          </w:p>
        </w:tc>
        <w:tc>
          <w:tcPr>
            <w:tcW w:w="782" w:type="pct"/>
            <w:vMerge/>
            <w:tcBorders>
              <w:top w:val="nil"/>
              <w:bottom w:val="single" w:sz="4" w:space="0" w:color="auto"/>
            </w:tcBorders>
            <w:vAlign w:val="center"/>
          </w:tcPr>
          <w:p w14:paraId="65042FE9" w14:textId="77777777" w:rsidR="009907BA" w:rsidRPr="00803DAB" w:rsidRDefault="009907BA" w:rsidP="00F87A29">
            <w:pPr>
              <w:pStyle w:val="17-tablecontent"/>
              <w:rPr>
                <w:color w:val="auto"/>
                <w:lang w:eastAsia="zh-CN"/>
              </w:rPr>
            </w:pPr>
          </w:p>
        </w:tc>
      </w:tr>
      <w:tr w:rsidR="009907BA" w:rsidRPr="00803DAB" w14:paraId="3B39111A" w14:textId="77777777" w:rsidTr="00F87A29">
        <w:tc>
          <w:tcPr>
            <w:tcW w:w="584" w:type="pct"/>
            <w:tcBorders>
              <w:top w:val="single" w:sz="4" w:space="0" w:color="auto"/>
              <w:bottom w:val="nil"/>
            </w:tcBorders>
            <w:vAlign w:val="center"/>
          </w:tcPr>
          <w:p w14:paraId="0DBDDCFE"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39" w:type="pct"/>
            <w:tcBorders>
              <w:top w:val="single" w:sz="4" w:space="0" w:color="auto"/>
              <w:bottom w:val="nil"/>
            </w:tcBorders>
            <w:vAlign w:val="center"/>
          </w:tcPr>
          <w:p w14:paraId="47D3C255" w14:textId="77777777" w:rsidR="009907BA" w:rsidRPr="00803DAB" w:rsidRDefault="009907BA" w:rsidP="00F87A29">
            <w:pPr>
              <w:pStyle w:val="17-tablecontent"/>
              <w:rPr>
                <w:color w:val="auto"/>
                <w:lang w:eastAsia="zh-CN"/>
              </w:rPr>
            </w:pPr>
            <w:r w:rsidRPr="00803DAB">
              <w:rPr>
                <w:color w:val="auto"/>
                <w:lang w:eastAsia="zh-CN"/>
              </w:rPr>
              <w:t>47.29</w:t>
            </w:r>
          </w:p>
        </w:tc>
        <w:tc>
          <w:tcPr>
            <w:tcW w:w="230" w:type="pct"/>
            <w:tcBorders>
              <w:top w:val="single" w:sz="4" w:space="0" w:color="auto"/>
              <w:bottom w:val="nil"/>
            </w:tcBorders>
            <w:vAlign w:val="center"/>
          </w:tcPr>
          <w:p w14:paraId="21D30A5A" w14:textId="77777777" w:rsidR="009907BA" w:rsidRPr="00803DAB" w:rsidRDefault="009907BA" w:rsidP="00F87A29">
            <w:pPr>
              <w:pStyle w:val="17-tablecontent"/>
              <w:rPr>
                <w:color w:val="auto"/>
                <w:lang w:eastAsia="zh-CN"/>
              </w:rPr>
            </w:pPr>
          </w:p>
        </w:tc>
        <w:tc>
          <w:tcPr>
            <w:tcW w:w="266" w:type="pct"/>
            <w:tcBorders>
              <w:top w:val="single" w:sz="4" w:space="0" w:color="auto"/>
              <w:bottom w:val="nil"/>
            </w:tcBorders>
            <w:vAlign w:val="center"/>
          </w:tcPr>
          <w:p w14:paraId="3840DF82" w14:textId="77777777" w:rsidR="009907BA" w:rsidRPr="00803DAB" w:rsidRDefault="009907BA" w:rsidP="00F87A29">
            <w:pPr>
              <w:pStyle w:val="17-tablecontent"/>
              <w:rPr>
                <w:color w:val="auto"/>
                <w:lang w:eastAsia="zh-CN"/>
              </w:rPr>
            </w:pPr>
            <w:r w:rsidRPr="00803DAB">
              <w:rPr>
                <w:color w:val="auto"/>
                <w:lang w:eastAsia="zh-CN"/>
              </w:rPr>
              <w:t>85</w:t>
            </w:r>
          </w:p>
        </w:tc>
        <w:tc>
          <w:tcPr>
            <w:tcW w:w="266" w:type="pct"/>
            <w:tcBorders>
              <w:top w:val="single" w:sz="4" w:space="0" w:color="auto"/>
              <w:bottom w:val="nil"/>
            </w:tcBorders>
            <w:vAlign w:val="center"/>
          </w:tcPr>
          <w:p w14:paraId="2BCB5CA3" w14:textId="77777777" w:rsidR="009907BA" w:rsidRPr="00803DAB" w:rsidRDefault="009907BA" w:rsidP="00F87A29">
            <w:pPr>
              <w:pStyle w:val="17-tablecontent"/>
              <w:rPr>
                <w:color w:val="auto"/>
                <w:lang w:eastAsia="zh-CN"/>
              </w:rPr>
            </w:pPr>
            <w:r w:rsidRPr="00803DAB">
              <w:rPr>
                <w:color w:val="auto"/>
                <w:lang w:eastAsia="zh-CN"/>
              </w:rPr>
              <w:t>69.1</w:t>
            </w:r>
          </w:p>
        </w:tc>
        <w:tc>
          <w:tcPr>
            <w:tcW w:w="230" w:type="pct"/>
            <w:tcBorders>
              <w:top w:val="single" w:sz="4" w:space="0" w:color="auto"/>
              <w:bottom w:val="nil"/>
            </w:tcBorders>
            <w:vAlign w:val="center"/>
          </w:tcPr>
          <w:p w14:paraId="33ADADF6" w14:textId="77777777" w:rsidR="009907BA" w:rsidRPr="00803DAB" w:rsidRDefault="009907BA" w:rsidP="00F87A29">
            <w:pPr>
              <w:pStyle w:val="17-tablecontent"/>
              <w:rPr>
                <w:color w:val="auto"/>
                <w:lang w:eastAsia="zh-CN"/>
              </w:rPr>
            </w:pPr>
            <w:r w:rsidRPr="00803DAB">
              <w:rPr>
                <w:color w:val="auto"/>
                <w:lang w:eastAsia="zh-CN"/>
              </w:rPr>
              <w:t>54.6</w:t>
            </w:r>
          </w:p>
        </w:tc>
        <w:tc>
          <w:tcPr>
            <w:tcW w:w="230" w:type="pct"/>
            <w:tcBorders>
              <w:top w:val="single" w:sz="4" w:space="0" w:color="auto"/>
              <w:bottom w:val="nil"/>
            </w:tcBorders>
            <w:vAlign w:val="center"/>
          </w:tcPr>
          <w:p w14:paraId="28F77A8E" w14:textId="77777777" w:rsidR="009907BA" w:rsidRPr="00803DAB" w:rsidRDefault="009907BA" w:rsidP="00F87A29">
            <w:pPr>
              <w:pStyle w:val="17-tablecontent"/>
              <w:rPr>
                <w:color w:val="auto"/>
                <w:lang w:eastAsia="zh-CN"/>
              </w:rPr>
            </w:pPr>
            <w:r w:rsidRPr="00803DAB">
              <w:rPr>
                <w:color w:val="auto"/>
                <w:lang w:eastAsia="zh-CN"/>
              </w:rPr>
              <w:t>46.7</w:t>
            </w:r>
          </w:p>
        </w:tc>
        <w:tc>
          <w:tcPr>
            <w:tcW w:w="230" w:type="pct"/>
            <w:tcBorders>
              <w:top w:val="single" w:sz="4" w:space="0" w:color="auto"/>
              <w:bottom w:val="nil"/>
            </w:tcBorders>
            <w:vAlign w:val="center"/>
          </w:tcPr>
          <w:p w14:paraId="3925584D" w14:textId="77777777" w:rsidR="009907BA" w:rsidRPr="00803DAB" w:rsidRDefault="009907BA" w:rsidP="00F87A29">
            <w:pPr>
              <w:pStyle w:val="17-tablecontent"/>
              <w:rPr>
                <w:color w:val="auto"/>
                <w:lang w:eastAsia="zh-CN"/>
              </w:rPr>
            </w:pPr>
            <w:r w:rsidRPr="00803DAB">
              <w:rPr>
                <w:color w:val="auto"/>
                <w:lang w:eastAsia="zh-CN"/>
              </w:rPr>
              <w:t>27.6</w:t>
            </w:r>
          </w:p>
        </w:tc>
        <w:tc>
          <w:tcPr>
            <w:tcW w:w="230" w:type="pct"/>
            <w:tcBorders>
              <w:top w:val="single" w:sz="4" w:space="0" w:color="auto"/>
              <w:bottom w:val="nil"/>
            </w:tcBorders>
            <w:vAlign w:val="center"/>
          </w:tcPr>
          <w:p w14:paraId="68B95D15" w14:textId="77777777" w:rsidR="009907BA" w:rsidRPr="00803DAB" w:rsidRDefault="009907BA" w:rsidP="00F87A29">
            <w:pPr>
              <w:pStyle w:val="17-tablecontent"/>
              <w:rPr>
                <w:color w:val="auto"/>
                <w:lang w:eastAsia="zh-CN"/>
              </w:rPr>
            </w:pPr>
          </w:p>
        </w:tc>
        <w:tc>
          <w:tcPr>
            <w:tcW w:w="230" w:type="pct"/>
            <w:tcBorders>
              <w:top w:val="single" w:sz="4" w:space="0" w:color="auto"/>
              <w:bottom w:val="nil"/>
            </w:tcBorders>
            <w:vAlign w:val="center"/>
          </w:tcPr>
          <w:p w14:paraId="2A34EA0A"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4B033B54" w14:textId="77777777" w:rsidR="009907BA" w:rsidRPr="00803DAB" w:rsidRDefault="009907BA" w:rsidP="00F87A29">
            <w:pPr>
              <w:pStyle w:val="17-tablecontent"/>
              <w:rPr>
                <w:color w:val="auto"/>
                <w:lang w:eastAsia="zh-CN"/>
              </w:rPr>
            </w:pPr>
            <w:r w:rsidRPr="00803DAB">
              <w:rPr>
                <w:color w:val="auto"/>
                <w:lang w:eastAsia="zh-CN"/>
              </w:rPr>
              <w:t xml:space="preserve">0.85 </w:t>
            </w:r>
          </w:p>
        </w:tc>
        <w:tc>
          <w:tcPr>
            <w:tcW w:w="230" w:type="pct"/>
            <w:tcBorders>
              <w:top w:val="nil"/>
              <w:left w:val="nil"/>
              <w:bottom w:val="nil"/>
              <w:right w:val="nil"/>
            </w:tcBorders>
            <w:shd w:val="clear" w:color="auto" w:fill="auto"/>
            <w:vAlign w:val="center"/>
          </w:tcPr>
          <w:p w14:paraId="5607DA1C" w14:textId="77777777" w:rsidR="009907BA" w:rsidRPr="00803DAB" w:rsidRDefault="009907BA" w:rsidP="00F87A29">
            <w:pPr>
              <w:pStyle w:val="17-tablecontent"/>
              <w:rPr>
                <w:color w:val="auto"/>
                <w:lang w:eastAsia="zh-CN"/>
              </w:rPr>
            </w:pPr>
            <w:r w:rsidRPr="00803DAB">
              <w:rPr>
                <w:color w:val="auto"/>
                <w:lang w:eastAsia="zh-CN"/>
              </w:rPr>
              <w:t xml:space="preserve">0.85 </w:t>
            </w:r>
          </w:p>
        </w:tc>
        <w:tc>
          <w:tcPr>
            <w:tcW w:w="230" w:type="pct"/>
            <w:tcBorders>
              <w:top w:val="nil"/>
              <w:left w:val="nil"/>
              <w:bottom w:val="nil"/>
              <w:right w:val="nil"/>
            </w:tcBorders>
            <w:shd w:val="clear" w:color="auto" w:fill="auto"/>
            <w:vAlign w:val="center"/>
          </w:tcPr>
          <w:p w14:paraId="064740C9"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30" w:type="pct"/>
            <w:tcBorders>
              <w:top w:val="nil"/>
              <w:left w:val="nil"/>
              <w:bottom w:val="nil"/>
              <w:right w:val="nil"/>
            </w:tcBorders>
            <w:shd w:val="clear" w:color="auto" w:fill="auto"/>
            <w:vAlign w:val="center"/>
          </w:tcPr>
          <w:p w14:paraId="768D25F9" w14:textId="77777777" w:rsidR="009907BA" w:rsidRPr="00803DAB" w:rsidRDefault="009907BA" w:rsidP="00F87A29">
            <w:pPr>
              <w:pStyle w:val="17-tablecontent"/>
              <w:rPr>
                <w:color w:val="auto"/>
                <w:lang w:eastAsia="zh-CN"/>
              </w:rPr>
            </w:pPr>
            <w:r w:rsidRPr="00803DAB">
              <w:rPr>
                <w:color w:val="auto"/>
                <w:lang w:eastAsia="zh-CN"/>
              </w:rPr>
              <w:t xml:space="preserve">0.93 </w:t>
            </w:r>
          </w:p>
        </w:tc>
        <w:tc>
          <w:tcPr>
            <w:tcW w:w="230" w:type="pct"/>
            <w:tcBorders>
              <w:top w:val="nil"/>
              <w:left w:val="nil"/>
              <w:bottom w:val="nil"/>
              <w:right w:val="nil"/>
            </w:tcBorders>
            <w:shd w:val="clear" w:color="auto" w:fill="auto"/>
            <w:vAlign w:val="center"/>
          </w:tcPr>
          <w:p w14:paraId="1FF6C230" w14:textId="77777777" w:rsidR="009907BA" w:rsidRPr="00803DAB" w:rsidRDefault="009907BA" w:rsidP="00F87A29">
            <w:pPr>
              <w:pStyle w:val="17-tablecontent"/>
              <w:rPr>
                <w:color w:val="auto"/>
                <w:lang w:eastAsia="zh-CN"/>
              </w:rPr>
            </w:pPr>
            <w:r w:rsidRPr="00803DAB">
              <w:rPr>
                <w:color w:val="auto"/>
                <w:lang w:eastAsia="zh-CN"/>
              </w:rPr>
              <w:t xml:space="preserve">0.95 </w:t>
            </w:r>
          </w:p>
        </w:tc>
        <w:tc>
          <w:tcPr>
            <w:tcW w:w="230" w:type="pct"/>
            <w:tcBorders>
              <w:top w:val="single" w:sz="4" w:space="0" w:color="auto"/>
              <w:bottom w:val="nil"/>
            </w:tcBorders>
            <w:vAlign w:val="center"/>
          </w:tcPr>
          <w:p w14:paraId="5884614F" w14:textId="77777777" w:rsidR="009907BA" w:rsidRPr="00803DAB" w:rsidRDefault="009907BA" w:rsidP="00F87A29">
            <w:pPr>
              <w:pStyle w:val="17-tablecontent"/>
              <w:rPr>
                <w:color w:val="auto"/>
                <w:lang w:eastAsia="zh-CN"/>
              </w:rPr>
            </w:pPr>
          </w:p>
        </w:tc>
        <w:tc>
          <w:tcPr>
            <w:tcW w:w="782" w:type="pct"/>
            <w:tcBorders>
              <w:top w:val="single" w:sz="4" w:space="0" w:color="auto"/>
              <w:bottom w:val="nil"/>
            </w:tcBorders>
            <w:vAlign w:val="center"/>
          </w:tcPr>
          <w:p w14:paraId="6996048A" w14:textId="5735EAD2"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{"citationItems":[{"id":"ITEM-1","itemData":{"DOI":"10.1016/j.tafmec.2014.04.004","ISSN":"01678442","abstract":"The mechanical behavior of rock is strongly dependent on its embedded discontinuities such as cracks and joints. Natural rock joints are found to exist mostly with filling materials such as sand or clay as weak bond. The filling has been observed in engineering practice to have influence on rock failure behavior. To investigate this topic, the crack propagation behavior of the filled and unfilled crack is studied and compared by testing rock-like specimens subjected to uniaxial compression. A qualitative analysis of the crack propagation paths is described where crack is classified into four types, namely the original, secondary, wing and anti-wing cracks. The experiments indicate the crack initiation time, initiation location and propagation behavior are different between filled and unfilled joints. The experimental results also showed that the peak stress for filled joint is higher than for the unfilled. Numerical tests simulating the experimental process are carried out using the extended finite element method (XFEM) to explore complementary explanations and provide proofs to the experiments.","author":[{"dropping-particle":"","family":"Zhuang","given":"Xiaoying","non-dropping-particle":"","parse-names":false,"suffix":""},{"dropping-particle":"","family":"Chun","given":"Junwei","non-dropping-particle":"","parse-names":false,"suffix":""},{"dropping-particle":"","family":"Zhu","given":"Hehua","non-dropping-particle":"","parse-names":false,"suffix":""}],"container-title":"Theoretical and Applied Fracture Mechanics","id":"ITEM-1","issue":"1","issued":{"date-parts":[["2014"]]},"page":"110-120","publisher":"Elsevier Ltd","title":"A comparative study on unfilled and filled crack propagation for rock-like brittle material","type":"article-journal","volume":"72"},"uris":["http://www.mendeley.com/documents/?uuid=efd2dcf3-5c4b-4d39-a650-1c05ab6c991c"]}],"mendeley":{"formattedCitation":"(Zhuang et al., 2014)","manualFormatting":"Zhuang et al. (2014","plainTextFormattedCitation":"(Zhuang et al., 2014)","previouslyFormattedCitation":"(Zhuang et al. 2014)"},"properties":{"noteIndex":0},"schema":"https://github.com/citation-style-language/schema/raw/master/csl-citation.json"}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Zhuang et al. (2014</w:t>
            </w:r>
            <w:r w:rsidRPr="00803DAB">
              <w:rPr>
                <w:color w:val="auto"/>
                <w:lang w:eastAsia="zh-CN"/>
              </w:rPr>
              <w:fldChar w:fldCharType="end"/>
            </w:r>
            <w:r w:rsidRPr="00803DAB">
              <w:rPr>
                <w:color w:val="auto"/>
                <w:lang w:eastAsia="zh-CN"/>
              </w:rPr>
              <w:t>)</w:t>
            </w:r>
          </w:p>
        </w:tc>
      </w:tr>
      <w:tr w:rsidR="009907BA" w:rsidRPr="00803DAB" w14:paraId="2ECA2B23" w14:textId="77777777" w:rsidTr="00F87A29">
        <w:tc>
          <w:tcPr>
            <w:tcW w:w="584" w:type="pct"/>
            <w:tcBorders>
              <w:top w:val="nil"/>
            </w:tcBorders>
            <w:vAlign w:val="center"/>
          </w:tcPr>
          <w:p w14:paraId="1751ECA9"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39" w:type="pct"/>
            <w:tcBorders>
              <w:top w:val="nil"/>
            </w:tcBorders>
            <w:vAlign w:val="center"/>
          </w:tcPr>
          <w:p w14:paraId="3CF0DD8C" w14:textId="77777777" w:rsidR="009907BA" w:rsidRPr="00803DAB" w:rsidRDefault="009907BA" w:rsidP="00F87A29">
            <w:pPr>
              <w:pStyle w:val="17-tablecontent"/>
              <w:rPr>
                <w:color w:val="auto"/>
                <w:lang w:eastAsia="zh-CN"/>
              </w:rPr>
            </w:pPr>
            <w:r w:rsidRPr="00803DAB">
              <w:rPr>
                <w:color w:val="auto"/>
                <w:lang w:eastAsia="zh-CN"/>
              </w:rPr>
              <w:t>47.29</w:t>
            </w:r>
          </w:p>
        </w:tc>
        <w:tc>
          <w:tcPr>
            <w:tcW w:w="230" w:type="pct"/>
            <w:tcBorders>
              <w:top w:val="nil"/>
            </w:tcBorders>
            <w:shd w:val="clear" w:color="auto" w:fill="auto"/>
            <w:vAlign w:val="center"/>
          </w:tcPr>
          <w:p w14:paraId="7F7008A4" w14:textId="77777777" w:rsidR="009907BA" w:rsidRPr="00803DAB" w:rsidRDefault="009907BA" w:rsidP="00F87A29">
            <w:pPr>
              <w:pStyle w:val="17-tablecontent"/>
              <w:rPr>
                <w:color w:val="auto"/>
                <w:lang w:eastAsia="zh-CN"/>
              </w:rPr>
            </w:pPr>
          </w:p>
        </w:tc>
        <w:tc>
          <w:tcPr>
            <w:tcW w:w="266" w:type="pct"/>
            <w:tcBorders>
              <w:top w:val="nil"/>
              <w:left w:val="nil"/>
              <w:bottom w:val="nil"/>
              <w:right w:val="nil"/>
            </w:tcBorders>
            <w:shd w:val="clear" w:color="auto" w:fill="auto"/>
            <w:vAlign w:val="center"/>
          </w:tcPr>
          <w:p w14:paraId="0808720B" w14:textId="77777777" w:rsidR="009907BA" w:rsidRPr="00803DAB" w:rsidRDefault="009907BA" w:rsidP="00F87A29">
            <w:pPr>
              <w:pStyle w:val="17-tablecontent"/>
              <w:rPr>
                <w:color w:val="auto"/>
                <w:lang w:eastAsia="zh-CN"/>
              </w:rPr>
            </w:pPr>
            <w:r w:rsidRPr="00803DAB">
              <w:rPr>
                <w:color w:val="auto"/>
                <w:lang w:eastAsia="zh-CN"/>
              </w:rPr>
              <w:t>88.7</w:t>
            </w:r>
          </w:p>
        </w:tc>
        <w:tc>
          <w:tcPr>
            <w:tcW w:w="266" w:type="pct"/>
            <w:tcBorders>
              <w:top w:val="nil"/>
              <w:left w:val="nil"/>
              <w:bottom w:val="nil"/>
              <w:right w:val="nil"/>
            </w:tcBorders>
            <w:shd w:val="clear" w:color="auto" w:fill="auto"/>
            <w:vAlign w:val="center"/>
          </w:tcPr>
          <w:p w14:paraId="470BCA37" w14:textId="77777777" w:rsidR="009907BA" w:rsidRPr="00803DAB" w:rsidRDefault="009907BA" w:rsidP="00F87A29">
            <w:pPr>
              <w:pStyle w:val="17-tablecontent"/>
              <w:rPr>
                <w:color w:val="auto"/>
                <w:lang w:eastAsia="zh-CN"/>
              </w:rPr>
            </w:pPr>
            <w:r w:rsidRPr="00803DAB">
              <w:rPr>
                <w:color w:val="auto"/>
                <w:lang w:eastAsia="zh-CN"/>
              </w:rPr>
              <w:t>74.7</w:t>
            </w:r>
          </w:p>
        </w:tc>
        <w:tc>
          <w:tcPr>
            <w:tcW w:w="230" w:type="pct"/>
            <w:tcBorders>
              <w:top w:val="nil"/>
              <w:left w:val="nil"/>
              <w:bottom w:val="nil"/>
              <w:right w:val="nil"/>
            </w:tcBorders>
            <w:shd w:val="clear" w:color="auto" w:fill="auto"/>
            <w:vAlign w:val="center"/>
          </w:tcPr>
          <w:p w14:paraId="2A597EFE" w14:textId="77777777" w:rsidR="009907BA" w:rsidRPr="00803DAB" w:rsidRDefault="009907BA" w:rsidP="00F87A29">
            <w:pPr>
              <w:pStyle w:val="17-tablecontent"/>
              <w:rPr>
                <w:color w:val="auto"/>
                <w:lang w:eastAsia="zh-CN"/>
              </w:rPr>
            </w:pPr>
            <w:r w:rsidRPr="00803DAB">
              <w:rPr>
                <w:color w:val="auto"/>
                <w:lang w:eastAsia="zh-CN"/>
              </w:rPr>
              <w:t>64.4</w:t>
            </w:r>
          </w:p>
        </w:tc>
        <w:tc>
          <w:tcPr>
            <w:tcW w:w="230" w:type="pct"/>
            <w:tcBorders>
              <w:top w:val="nil"/>
              <w:left w:val="nil"/>
              <w:bottom w:val="nil"/>
              <w:right w:val="nil"/>
            </w:tcBorders>
            <w:shd w:val="clear" w:color="auto" w:fill="auto"/>
            <w:vAlign w:val="center"/>
          </w:tcPr>
          <w:p w14:paraId="4669960A" w14:textId="77777777" w:rsidR="009907BA" w:rsidRPr="00803DAB" w:rsidRDefault="009907BA" w:rsidP="00F87A29">
            <w:pPr>
              <w:pStyle w:val="17-tablecontent"/>
              <w:rPr>
                <w:color w:val="auto"/>
                <w:lang w:eastAsia="zh-CN"/>
              </w:rPr>
            </w:pPr>
            <w:r w:rsidRPr="00803DAB">
              <w:rPr>
                <w:color w:val="auto"/>
                <w:lang w:eastAsia="zh-CN"/>
              </w:rPr>
              <w:t>55.6</w:t>
            </w:r>
          </w:p>
        </w:tc>
        <w:tc>
          <w:tcPr>
            <w:tcW w:w="230" w:type="pct"/>
            <w:tcBorders>
              <w:top w:val="nil"/>
              <w:left w:val="nil"/>
              <w:bottom w:val="nil"/>
              <w:right w:val="nil"/>
            </w:tcBorders>
            <w:shd w:val="clear" w:color="auto" w:fill="auto"/>
            <w:vAlign w:val="center"/>
          </w:tcPr>
          <w:p w14:paraId="5BADC736" w14:textId="77777777" w:rsidR="009907BA" w:rsidRPr="00803DAB" w:rsidRDefault="009907BA" w:rsidP="00F87A29">
            <w:pPr>
              <w:pStyle w:val="17-tablecontent"/>
              <w:rPr>
                <w:color w:val="auto"/>
                <w:lang w:eastAsia="zh-CN"/>
              </w:rPr>
            </w:pPr>
            <w:r w:rsidRPr="00803DAB">
              <w:rPr>
                <w:color w:val="auto"/>
                <w:lang w:eastAsia="zh-CN"/>
              </w:rPr>
              <w:t>36</w:t>
            </w:r>
          </w:p>
        </w:tc>
        <w:tc>
          <w:tcPr>
            <w:tcW w:w="230" w:type="pct"/>
            <w:tcBorders>
              <w:top w:val="nil"/>
            </w:tcBorders>
            <w:shd w:val="clear" w:color="auto" w:fill="auto"/>
            <w:vAlign w:val="center"/>
          </w:tcPr>
          <w:p w14:paraId="34C04AB2" w14:textId="77777777" w:rsidR="009907BA" w:rsidRPr="00803DAB" w:rsidRDefault="009907BA" w:rsidP="00F87A29">
            <w:pPr>
              <w:pStyle w:val="17-tablecontent"/>
              <w:rPr>
                <w:color w:val="auto"/>
                <w:lang w:eastAsia="zh-CN"/>
              </w:rPr>
            </w:pPr>
          </w:p>
        </w:tc>
        <w:tc>
          <w:tcPr>
            <w:tcW w:w="230" w:type="pct"/>
            <w:tcBorders>
              <w:top w:val="nil"/>
              <w:right w:val="nil"/>
            </w:tcBorders>
            <w:shd w:val="clear" w:color="auto" w:fill="auto"/>
            <w:vAlign w:val="center"/>
          </w:tcPr>
          <w:p w14:paraId="4FFE4D9A"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69F3FCF6"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30" w:type="pct"/>
            <w:tcBorders>
              <w:top w:val="nil"/>
              <w:left w:val="nil"/>
              <w:bottom w:val="nil"/>
              <w:right w:val="nil"/>
            </w:tcBorders>
            <w:shd w:val="clear" w:color="auto" w:fill="auto"/>
            <w:vAlign w:val="center"/>
          </w:tcPr>
          <w:p w14:paraId="503C5869" w14:textId="77777777" w:rsidR="009907BA" w:rsidRPr="00803DAB" w:rsidRDefault="009907BA" w:rsidP="00F87A29">
            <w:pPr>
              <w:pStyle w:val="17-tablecontent"/>
              <w:rPr>
                <w:color w:val="auto"/>
                <w:lang w:eastAsia="zh-CN"/>
              </w:rPr>
            </w:pPr>
            <w:r w:rsidRPr="00803DAB">
              <w:rPr>
                <w:color w:val="auto"/>
                <w:lang w:eastAsia="zh-CN"/>
              </w:rPr>
              <w:t xml:space="preserve">0.86 </w:t>
            </w:r>
          </w:p>
        </w:tc>
        <w:tc>
          <w:tcPr>
            <w:tcW w:w="230" w:type="pct"/>
            <w:tcBorders>
              <w:top w:val="nil"/>
              <w:left w:val="nil"/>
              <w:bottom w:val="nil"/>
              <w:right w:val="nil"/>
            </w:tcBorders>
            <w:shd w:val="clear" w:color="auto" w:fill="auto"/>
            <w:vAlign w:val="center"/>
          </w:tcPr>
          <w:p w14:paraId="36189554" w14:textId="77777777" w:rsidR="009907BA" w:rsidRPr="00803DAB" w:rsidRDefault="009907BA" w:rsidP="00F87A29">
            <w:pPr>
              <w:pStyle w:val="17-tablecontent"/>
              <w:rPr>
                <w:color w:val="auto"/>
                <w:lang w:eastAsia="zh-CN"/>
              </w:rPr>
            </w:pPr>
            <w:r w:rsidRPr="00803DAB">
              <w:rPr>
                <w:color w:val="auto"/>
                <w:lang w:eastAsia="zh-CN"/>
              </w:rPr>
              <w:t xml:space="preserve">0.87 </w:t>
            </w:r>
          </w:p>
        </w:tc>
        <w:tc>
          <w:tcPr>
            <w:tcW w:w="230" w:type="pct"/>
            <w:tcBorders>
              <w:top w:val="nil"/>
              <w:left w:val="nil"/>
              <w:bottom w:val="nil"/>
              <w:right w:val="nil"/>
            </w:tcBorders>
            <w:shd w:val="clear" w:color="auto" w:fill="auto"/>
            <w:vAlign w:val="center"/>
          </w:tcPr>
          <w:p w14:paraId="6825818B" w14:textId="77777777" w:rsidR="009907BA" w:rsidRPr="00803DAB" w:rsidRDefault="009907BA" w:rsidP="00F87A29">
            <w:pPr>
              <w:pStyle w:val="17-tablecontent"/>
              <w:rPr>
                <w:color w:val="auto"/>
                <w:lang w:eastAsia="zh-CN"/>
              </w:rPr>
            </w:pPr>
            <w:r w:rsidRPr="00803DAB">
              <w:rPr>
                <w:color w:val="auto"/>
                <w:lang w:eastAsia="zh-CN"/>
              </w:rPr>
              <w:t xml:space="preserve">0.95 </w:t>
            </w:r>
          </w:p>
        </w:tc>
        <w:tc>
          <w:tcPr>
            <w:tcW w:w="230" w:type="pct"/>
            <w:tcBorders>
              <w:top w:val="nil"/>
              <w:left w:val="nil"/>
              <w:bottom w:val="nil"/>
              <w:right w:val="nil"/>
            </w:tcBorders>
            <w:shd w:val="clear" w:color="auto" w:fill="auto"/>
            <w:vAlign w:val="center"/>
          </w:tcPr>
          <w:p w14:paraId="01E79D06" w14:textId="77777777" w:rsidR="009907BA" w:rsidRPr="00803DAB" w:rsidRDefault="009907BA" w:rsidP="00F87A29">
            <w:pPr>
              <w:pStyle w:val="17-tablecontent"/>
              <w:rPr>
                <w:color w:val="auto"/>
                <w:lang w:eastAsia="zh-CN"/>
              </w:rPr>
            </w:pPr>
            <w:r w:rsidRPr="00803DAB">
              <w:rPr>
                <w:color w:val="auto"/>
                <w:lang w:eastAsia="zh-CN"/>
              </w:rPr>
              <w:t xml:space="preserve">0.96 </w:t>
            </w:r>
          </w:p>
        </w:tc>
        <w:tc>
          <w:tcPr>
            <w:tcW w:w="230" w:type="pct"/>
            <w:tcBorders>
              <w:top w:val="nil"/>
              <w:left w:val="nil"/>
              <w:bottom w:val="nil"/>
              <w:right w:val="nil"/>
            </w:tcBorders>
            <w:shd w:val="clear" w:color="auto" w:fill="auto"/>
            <w:vAlign w:val="center"/>
          </w:tcPr>
          <w:p w14:paraId="2D7F9565" w14:textId="77777777" w:rsidR="009907BA" w:rsidRPr="00803DAB" w:rsidRDefault="009907BA" w:rsidP="00F87A29">
            <w:pPr>
              <w:pStyle w:val="17-tablecontent"/>
              <w:rPr>
                <w:color w:val="auto"/>
                <w:lang w:eastAsia="zh-CN"/>
              </w:rPr>
            </w:pPr>
          </w:p>
        </w:tc>
        <w:tc>
          <w:tcPr>
            <w:tcW w:w="782" w:type="pct"/>
            <w:tcBorders>
              <w:top w:val="nil"/>
              <w:left w:val="nil"/>
              <w:bottom w:val="nil"/>
            </w:tcBorders>
            <w:vAlign w:val="center"/>
          </w:tcPr>
          <w:p w14:paraId="12930F99" w14:textId="5EF86D6E"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{"citationItems":[{"id":"ITEM-1","itemData":{"DOI":"10.1016/j.tafmec.2014.04.004","ISSN":"01678442","abstract":"The mechanical behavior of rock is strongly dependent on its embedded discontinuities such as cracks and joints. Natural rock joints are found to exist mostly with filling materials such as sand or clay as weak bond. The filling has been observed in engineering practice to have influence on rock failure behavior. To investigate this topic, the crack propagation behavior of the filled and unfilled crack is studied and compared by testing rock-like specimens subjected to uniaxial compression. A qualitative analysis of the crack propagation paths is described where crack is classified into four types, namely the original, secondary, wing and anti-wing cracks. The experiments indicate the crack initiation time, initiation location and propagation behavior are different between filled and unfilled joints. The experimental results also showed that the peak stress for filled joint is higher than for the unfilled. Numerical tests simulating the experimental process are carried out using the extended finite element method (XFEM) to explore complementary explanations and provide proofs to the experiments.","author":[{"dropping-particle":"","family":"Zhuang","given":"Xiaoying","non-dropping-particle":"","parse-names":false,"suffix":""},{"dropping-particle":"","family":"Chun","given":"Junwei","non-dropping-particle":"","parse-names":false,"suffix":""},{"dropping-particle":"","family":"Zhu","given":"Hehua","non-dropping-particle":"","parse-names":false,"suffix":""}],"container-title":"Theoretical and Applied Fracture Mechanics","id":"ITEM-1","issue":"1","issued":{"date-parts":[["2014"]]},"page":"110-120","publisher":"Elsevier Ltd","title":"A comparative study on unfilled and filled crack propagation for rock-like brittle material","type":"article-journal","volume":"72"},"uris":["http://www.mendeley.com/documents/?uuid=efd2dcf3-5c4b-4d39-a650-1c05ab6c991c"]}],"mendeley":{"formattedCitation":"(Zhuang et al., 2014)","manualFormatting":"Zhuang et al. (2014","plainTextFormattedCitation":"(Zhuang et al., 2014)","previouslyFormattedCitation":"(Zhuang et al. 2014)"},"properties":{"noteIndex":0},"schema":"https://github.com/citation-style-language/schema/raw/master/csl-citation.json"}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Zhuang et al. (2014</w:t>
            </w:r>
            <w:r w:rsidRPr="00803DAB">
              <w:rPr>
                <w:color w:val="auto"/>
                <w:lang w:eastAsia="zh-CN"/>
              </w:rPr>
              <w:fldChar w:fldCharType="end"/>
            </w:r>
            <w:r w:rsidRPr="00803DAB">
              <w:rPr>
                <w:color w:val="auto"/>
                <w:lang w:eastAsia="zh-CN"/>
              </w:rPr>
              <w:t>)</w:t>
            </w:r>
          </w:p>
        </w:tc>
      </w:tr>
      <w:tr w:rsidR="009907BA" w:rsidRPr="00803DAB" w14:paraId="4021FA12" w14:textId="77777777" w:rsidTr="00F87A29">
        <w:tc>
          <w:tcPr>
            <w:tcW w:w="584" w:type="pct"/>
            <w:tcBorders>
              <w:top w:val="nil"/>
            </w:tcBorders>
            <w:vAlign w:val="center"/>
          </w:tcPr>
          <w:p w14:paraId="1CE5AD4B"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39" w:type="pct"/>
            <w:tcBorders>
              <w:top w:val="nil"/>
            </w:tcBorders>
            <w:vAlign w:val="center"/>
          </w:tcPr>
          <w:p w14:paraId="3235C5FA" w14:textId="77777777" w:rsidR="009907BA" w:rsidRPr="00803DAB" w:rsidRDefault="009907BA" w:rsidP="00F87A29">
            <w:pPr>
              <w:pStyle w:val="17-tablecontent"/>
              <w:rPr>
                <w:color w:val="auto"/>
                <w:lang w:eastAsia="zh-CN"/>
              </w:rPr>
            </w:pPr>
            <w:r w:rsidRPr="00803DAB">
              <w:rPr>
                <w:color w:val="auto"/>
                <w:lang w:eastAsia="zh-CN"/>
              </w:rPr>
              <w:t>47.29</w:t>
            </w:r>
          </w:p>
        </w:tc>
        <w:tc>
          <w:tcPr>
            <w:tcW w:w="230" w:type="pct"/>
            <w:tcBorders>
              <w:top w:val="nil"/>
            </w:tcBorders>
            <w:shd w:val="clear" w:color="auto" w:fill="auto"/>
            <w:vAlign w:val="center"/>
          </w:tcPr>
          <w:p w14:paraId="53F8D658" w14:textId="77777777" w:rsidR="009907BA" w:rsidRPr="00803DAB" w:rsidRDefault="009907BA" w:rsidP="00F87A29">
            <w:pPr>
              <w:pStyle w:val="17-tablecontent"/>
              <w:rPr>
                <w:color w:val="auto"/>
                <w:lang w:eastAsia="zh-CN"/>
              </w:rPr>
            </w:pPr>
          </w:p>
        </w:tc>
        <w:tc>
          <w:tcPr>
            <w:tcW w:w="266" w:type="pct"/>
            <w:tcBorders>
              <w:top w:val="nil"/>
              <w:left w:val="nil"/>
              <w:bottom w:val="nil"/>
              <w:right w:val="nil"/>
            </w:tcBorders>
            <w:shd w:val="clear" w:color="auto" w:fill="auto"/>
            <w:vAlign w:val="center"/>
          </w:tcPr>
          <w:p w14:paraId="0C43D599" w14:textId="77777777" w:rsidR="009907BA" w:rsidRPr="00803DAB" w:rsidRDefault="009907BA" w:rsidP="00F87A29">
            <w:pPr>
              <w:pStyle w:val="17-tablecontent"/>
              <w:rPr>
                <w:color w:val="auto"/>
                <w:lang w:eastAsia="zh-CN"/>
              </w:rPr>
            </w:pPr>
            <w:r w:rsidRPr="00803DAB">
              <w:rPr>
                <w:color w:val="auto"/>
                <w:lang w:eastAsia="zh-CN"/>
              </w:rPr>
              <w:t>101.8</w:t>
            </w:r>
          </w:p>
        </w:tc>
        <w:tc>
          <w:tcPr>
            <w:tcW w:w="266" w:type="pct"/>
            <w:tcBorders>
              <w:top w:val="nil"/>
              <w:left w:val="nil"/>
              <w:bottom w:val="nil"/>
              <w:right w:val="nil"/>
            </w:tcBorders>
            <w:shd w:val="clear" w:color="auto" w:fill="auto"/>
            <w:vAlign w:val="center"/>
          </w:tcPr>
          <w:p w14:paraId="21660A14" w14:textId="77777777" w:rsidR="009907BA" w:rsidRPr="00803DAB" w:rsidRDefault="009907BA" w:rsidP="00F87A29">
            <w:pPr>
              <w:pStyle w:val="17-tablecontent"/>
              <w:rPr>
                <w:color w:val="auto"/>
                <w:lang w:eastAsia="zh-CN"/>
              </w:rPr>
            </w:pPr>
            <w:r w:rsidRPr="00803DAB">
              <w:rPr>
                <w:color w:val="auto"/>
                <w:lang w:eastAsia="zh-CN"/>
              </w:rPr>
              <w:t>81.7</w:t>
            </w:r>
          </w:p>
        </w:tc>
        <w:tc>
          <w:tcPr>
            <w:tcW w:w="230" w:type="pct"/>
            <w:tcBorders>
              <w:top w:val="nil"/>
              <w:left w:val="nil"/>
              <w:bottom w:val="nil"/>
              <w:right w:val="nil"/>
            </w:tcBorders>
            <w:shd w:val="clear" w:color="auto" w:fill="auto"/>
            <w:vAlign w:val="center"/>
          </w:tcPr>
          <w:p w14:paraId="629D5D48" w14:textId="77777777" w:rsidR="009907BA" w:rsidRPr="00803DAB" w:rsidRDefault="009907BA" w:rsidP="00F87A29">
            <w:pPr>
              <w:pStyle w:val="17-tablecontent"/>
              <w:rPr>
                <w:color w:val="auto"/>
                <w:lang w:eastAsia="zh-CN"/>
              </w:rPr>
            </w:pPr>
            <w:r w:rsidRPr="00803DAB">
              <w:rPr>
                <w:color w:val="auto"/>
                <w:lang w:eastAsia="zh-CN"/>
              </w:rPr>
              <w:t>75.2</w:t>
            </w:r>
          </w:p>
        </w:tc>
        <w:tc>
          <w:tcPr>
            <w:tcW w:w="230" w:type="pct"/>
            <w:tcBorders>
              <w:top w:val="nil"/>
              <w:left w:val="nil"/>
              <w:bottom w:val="nil"/>
              <w:right w:val="nil"/>
            </w:tcBorders>
            <w:shd w:val="clear" w:color="auto" w:fill="auto"/>
            <w:vAlign w:val="center"/>
          </w:tcPr>
          <w:p w14:paraId="4A107FF4" w14:textId="77777777" w:rsidR="009907BA" w:rsidRPr="00803DAB" w:rsidRDefault="009907BA" w:rsidP="00F87A29">
            <w:pPr>
              <w:pStyle w:val="17-tablecontent"/>
              <w:rPr>
                <w:color w:val="auto"/>
                <w:lang w:eastAsia="zh-CN"/>
              </w:rPr>
            </w:pPr>
            <w:r w:rsidRPr="00803DAB">
              <w:rPr>
                <w:color w:val="auto"/>
                <w:lang w:eastAsia="zh-CN"/>
              </w:rPr>
              <w:t>57.9</w:t>
            </w:r>
          </w:p>
        </w:tc>
        <w:tc>
          <w:tcPr>
            <w:tcW w:w="230" w:type="pct"/>
            <w:tcBorders>
              <w:top w:val="nil"/>
              <w:left w:val="nil"/>
              <w:bottom w:val="nil"/>
              <w:right w:val="nil"/>
            </w:tcBorders>
            <w:shd w:val="clear" w:color="auto" w:fill="auto"/>
            <w:vAlign w:val="center"/>
          </w:tcPr>
          <w:p w14:paraId="76098396" w14:textId="77777777" w:rsidR="009907BA" w:rsidRPr="00803DAB" w:rsidRDefault="009907BA" w:rsidP="00F87A29">
            <w:pPr>
              <w:pStyle w:val="17-tablecontent"/>
              <w:rPr>
                <w:color w:val="auto"/>
                <w:lang w:eastAsia="zh-CN"/>
              </w:rPr>
            </w:pPr>
            <w:r w:rsidRPr="00803DAB">
              <w:rPr>
                <w:color w:val="auto"/>
                <w:lang w:eastAsia="zh-CN"/>
              </w:rPr>
              <w:t>37.4</w:t>
            </w:r>
          </w:p>
        </w:tc>
        <w:tc>
          <w:tcPr>
            <w:tcW w:w="230" w:type="pct"/>
            <w:tcBorders>
              <w:top w:val="nil"/>
            </w:tcBorders>
            <w:shd w:val="clear" w:color="auto" w:fill="auto"/>
            <w:vAlign w:val="center"/>
          </w:tcPr>
          <w:p w14:paraId="660A0A6D" w14:textId="77777777" w:rsidR="009907BA" w:rsidRPr="00803DAB" w:rsidRDefault="009907BA" w:rsidP="00F87A29">
            <w:pPr>
              <w:pStyle w:val="17-tablecontent"/>
              <w:rPr>
                <w:color w:val="auto"/>
                <w:lang w:eastAsia="zh-CN"/>
              </w:rPr>
            </w:pPr>
          </w:p>
        </w:tc>
        <w:tc>
          <w:tcPr>
            <w:tcW w:w="230" w:type="pct"/>
            <w:tcBorders>
              <w:top w:val="nil"/>
              <w:right w:val="nil"/>
            </w:tcBorders>
            <w:shd w:val="clear" w:color="auto" w:fill="auto"/>
            <w:vAlign w:val="center"/>
          </w:tcPr>
          <w:p w14:paraId="2A3ED808"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47F27BFA"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3C8B1431"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3E9264A2"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112B639C"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48991975"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347289C7" w14:textId="77777777" w:rsidR="009907BA" w:rsidRPr="00803DAB" w:rsidRDefault="009907BA" w:rsidP="00F87A29">
            <w:pPr>
              <w:pStyle w:val="17-tablecontent"/>
              <w:rPr>
                <w:color w:val="auto"/>
                <w:lang w:eastAsia="zh-CN"/>
              </w:rPr>
            </w:pPr>
          </w:p>
        </w:tc>
        <w:tc>
          <w:tcPr>
            <w:tcW w:w="782" w:type="pct"/>
            <w:tcBorders>
              <w:top w:val="nil"/>
              <w:left w:val="nil"/>
              <w:bottom w:val="nil"/>
            </w:tcBorders>
            <w:vAlign w:val="center"/>
          </w:tcPr>
          <w:p w14:paraId="291C5CD4" w14:textId="5C6E5231"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{"citationItems":[{"id":"ITEM-1","itemData":{"DOI":"10.1016/j.tafmec.2014.04.004","ISSN":"01678442","abstract":"The mechanical behavior of rock is strongly dependent on its embedded discontinuities such as cracks and joints. Natural rock joints are found to exist mostly with filling materials such as sand or clay as weak bond. The filling has been observed in engineering practice to have influence on rock failure behavior. To investigate this topic, the crack propagation behavior of the filled and unfilled crack is studied and compared by testing rock-like specimens subjected to uniaxial compression. A qualitative analysis of the crack propagation paths is described where crack is classified into four types, namely the original, secondary, wing and anti-wing cracks. The experiments indicate the crack initiation time, initiation location and propagation behavior are different between filled and unfilled joints. The experimental results also showed that the peak stress for filled joint is higher than for the unfilled. Numerical tests simulating the experimental process are carried out using the extended finite element method (XFEM) to explore complementary explanations and provide proofs to the experiments.","author":[{"dropping-particle":"","family":"Zhuang","given":"Xiaoying","non-dropping-particle":"","parse-names":false,"suffix":""},{"dropping-particle":"","family":"Chun","given":"Junwei","non-dropping-particle":"","parse-names":false,"suffix":""},{"dropping-particle":"","family":"Zhu","given":"Hehua","non-dropping-particle":"","parse-names":false,"suffix":""}],"container-title":"Theoretical and Applied Fracture Mechanics","id":"ITEM-1","issue":"1","issued":{"date-parts":[["2014"]]},"page":"110-120","publisher":"Elsevier Ltd","title":"A comparative study on unfilled and filled crack propagation for rock-like brittle material","type":"article-journal","volume":"72"},"uris":["http://www.mendeley.com/documents/?uuid=efd2dcf3-5c4b-4d39-a650-1c05ab6c991c"]}],"mendeley":{"formattedCitation":"(Zhuang et al., 2014)","manualFormatting":"Zhuang et al. (2014","plainTextFormattedCitation":"(Zhuang et al., 2014)","previouslyFormattedCitation":"(Zhuang et al. 2014)"},"properties":{"noteIndex":0},"schema":"https://github.com/citation-style-language/schema/raw/master/csl-citation.json"}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Zhuang et al. (2014</w:t>
            </w:r>
            <w:r w:rsidRPr="00803DAB">
              <w:rPr>
                <w:color w:val="auto"/>
                <w:lang w:eastAsia="zh-CN"/>
              </w:rPr>
              <w:fldChar w:fldCharType="end"/>
            </w:r>
            <w:r w:rsidRPr="00803DAB">
              <w:rPr>
                <w:color w:val="auto"/>
                <w:lang w:eastAsia="zh-CN"/>
              </w:rPr>
              <w:t>)</w:t>
            </w:r>
          </w:p>
        </w:tc>
      </w:tr>
      <w:tr w:rsidR="009907BA" w:rsidRPr="00803DAB" w14:paraId="11A5A0F7" w14:textId="77777777" w:rsidTr="00F87A29">
        <w:tc>
          <w:tcPr>
            <w:tcW w:w="584" w:type="pct"/>
            <w:tcBorders>
              <w:top w:val="nil"/>
            </w:tcBorders>
            <w:vAlign w:val="center"/>
          </w:tcPr>
          <w:p w14:paraId="72836232"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39" w:type="pct"/>
            <w:tcBorders>
              <w:top w:val="nil"/>
            </w:tcBorders>
            <w:vAlign w:val="center"/>
          </w:tcPr>
          <w:p w14:paraId="355B1A51" w14:textId="77777777" w:rsidR="009907BA" w:rsidRPr="00803DAB" w:rsidRDefault="009907BA" w:rsidP="00F87A29">
            <w:pPr>
              <w:pStyle w:val="17-tablecontent"/>
              <w:rPr>
                <w:color w:val="auto"/>
                <w:lang w:eastAsia="zh-CN"/>
              </w:rPr>
            </w:pPr>
            <w:r w:rsidRPr="00803DAB">
              <w:rPr>
                <w:color w:val="auto"/>
                <w:lang w:eastAsia="zh-CN"/>
              </w:rPr>
              <w:t>47.29</w:t>
            </w:r>
          </w:p>
        </w:tc>
        <w:tc>
          <w:tcPr>
            <w:tcW w:w="230" w:type="pct"/>
            <w:tcBorders>
              <w:top w:val="nil"/>
            </w:tcBorders>
            <w:shd w:val="clear" w:color="auto" w:fill="auto"/>
            <w:vAlign w:val="center"/>
          </w:tcPr>
          <w:p w14:paraId="030D5C89" w14:textId="77777777" w:rsidR="009907BA" w:rsidRPr="00803DAB" w:rsidRDefault="009907BA" w:rsidP="00F87A29">
            <w:pPr>
              <w:pStyle w:val="17-tablecontent"/>
              <w:rPr>
                <w:color w:val="auto"/>
                <w:lang w:eastAsia="zh-CN"/>
              </w:rPr>
            </w:pPr>
          </w:p>
        </w:tc>
        <w:tc>
          <w:tcPr>
            <w:tcW w:w="266" w:type="pct"/>
            <w:tcBorders>
              <w:top w:val="nil"/>
              <w:left w:val="nil"/>
              <w:bottom w:val="nil"/>
              <w:right w:val="nil"/>
            </w:tcBorders>
            <w:shd w:val="clear" w:color="auto" w:fill="auto"/>
            <w:vAlign w:val="center"/>
          </w:tcPr>
          <w:p w14:paraId="32A3B5B5" w14:textId="77777777" w:rsidR="009907BA" w:rsidRPr="00803DAB" w:rsidRDefault="009907BA" w:rsidP="00F87A29">
            <w:pPr>
              <w:pStyle w:val="17-tablecontent"/>
              <w:rPr>
                <w:color w:val="auto"/>
                <w:lang w:eastAsia="zh-CN"/>
              </w:rPr>
            </w:pPr>
          </w:p>
        </w:tc>
        <w:tc>
          <w:tcPr>
            <w:tcW w:w="266" w:type="pct"/>
            <w:tcBorders>
              <w:top w:val="nil"/>
              <w:left w:val="nil"/>
              <w:bottom w:val="nil"/>
              <w:right w:val="nil"/>
            </w:tcBorders>
            <w:shd w:val="clear" w:color="auto" w:fill="auto"/>
            <w:vAlign w:val="center"/>
          </w:tcPr>
          <w:p w14:paraId="4D7EB49A" w14:textId="77777777" w:rsidR="009907BA" w:rsidRPr="00803DAB" w:rsidRDefault="009907BA" w:rsidP="00F87A29">
            <w:pPr>
              <w:pStyle w:val="17-tablecontent"/>
              <w:rPr>
                <w:color w:val="auto"/>
                <w:lang w:eastAsia="zh-CN"/>
              </w:rPr>
            </w:pPr>
            <w:r w:rsidRPr="00803DAB">
              <w:rPr>
                <w:color w:val="auto"/>
                <w:lang w:eastAsia="zh-CN"/>
              </w:rPr>
              <w:t>109.3</w:t>
            </w:r>
          </w:p>
        </w:tc>
        <w:tc>
          <w:tcPr>
            <w:tcW w:w="230" w:type="pct"/>
            <w:tcBorders>
              <w:top w:val="nil"/>
              <w:left w:val="nil"/>
              <w:bottom w:val="nil"/>
              <w:right w:val="nil"/>
            </w:tcBorders>
            <w:shd w:val="clear" w:color="auto" w:fill="auto"/>
            <w:vAlign w:val="center"/>
          </w:tcPr>
          <w:p w14:paraId="10E34C3E" w14:textId="77777777" w:rsidR="009907BA" w:rsidRPr="00803DAB" w:rsidRDefault="009907BA" w:rsidP="00F87A29">
            <w:pPr>
              <w:pStyle w:val="17-tablecontent"/>
              <w:rPr>
                <w:color w:val="auto"/>
                <w:lang w:eastAsia="zh-CN"/>
              </w:rPr>
            </w:pPr>
            <w:r w:rsidRPr="00803DAB">
              <w:rPr>
                <w:color w:val="auto"/>
                <w:lang w:eastAsia="zh-CN"/>
              </w:rPr>
              <w:t>86.8</w:t>
            </w:r>
          </w:p>
        </w:tc>
        <w:tc>
          <w:tcPr>
            <w:tcW w:w="230" w:type="pct"/>
            <w:tcBorders>
              <w:top w:val="nil"/>
              <w:left w:val="nil"/>
              <w:bottom w:val="nil"/>
              <w:right w:val="nil"/>
            </w:tcBorders>
            <w:shd w:val="clear" w:color="auto" w:fill="auto"/>
            <w:vAlign w:val="center"/>
          </w:tcPr>
          <w:p w14:paraId="7AF0A742" w14:textId="77777777" w:rsidR="009907BA" w:rsidRPr="00803DAB" w:rsidRDefault="009907BA" w:rsidP="00F87A29">
            <w:pPr>
              <w:pStyle w:val="17-tablecontent"/>
              <w:rPr>
                <w:color w:val="auto"/>
                <w:lang w:eastAsia="zh-CN"/>
              </w:rPr>
            </w:pPr>
            <w:r w:rsidRPr="00803DAB">
              <w:rPr>
                <w:color w:val="auto"/>
                <w:lang w:eastAsia="zh-CN"/>
              </w:rPr>
              <w:t>73.8</w:t>
            </w:r>
          </w:p>
        </w:tc>
        <w:tc>
          <w:tcPr>
            <w:tcW w:w="230" w:type="pct"/>
            <w:tcBorders>
              <w:top w:val="nil"/>
              <w:left w:val="nil"/>
              <w:bottom w:val="nil"/>
              <w:right w:val="nil"/>
            </w:tcBorders>
            <w:shd w:val="clear" w:color="auto" w:fill="auto"/>
            <w:vAlign w:val="center"/>
          </w:tcPr>
          <w:p w14:paraId="7D4D8CC7" w14:textId="77777777" w:rsidR="009907BA" w:rsidRPr="00803DAB" w:rsidRDefault="009907BA" w:rsidP="00F87A29">
            <w:pPr>
              <w:pStyle w:val="17-tablecontent"/>
              <w:rPr>
                <w:color w:val="auto"/>
                <w:lang w:eastAsia="zh-CN"/>
              </w:rPr>
            </w:pPr>
            <w:r w:rsidRPr="00803DAB">
              <w:rPr>
                <w:color w:val="auto"/>
                <w:lang w:eastAsia="zh-CN"/>
              </w:rPr>
              <w:t>64.9</w:t>
            </w:r>
          </w:p>
        </w:tc>
        <w:tc>
          <w:tcPr>
            <w:tcW w:w="230" w:type="pct"/>
            <w:tcBorders>
              <w:top w:val="nil"/>
            </w:tcBorders>
            <w:shd w:val="clear" w:color="auto" w:fill="auto"/>
            <w:vAlign w:val="center"/>
          </w:tcPr>
          <w:p w14:paraId="231EAD99" w14:textId="77777777" w:rsidR="009907BA" w:rsidRPr="00803DAB" w:rsidRDefault="009907BA" w:rsidP="00F87A29">
            <w:pPr>
              <w:pStyle w:val="17-tablecontent"/>
              <w:rPr>
                <w:color w:val="auto"/>
                <w:lang w:eastAsia="zh-CN"/>
              </w:rPr>
            </w:pPr>
            <w:r w:rsidRPr="00803DAB">
              <w:rPr>
                <w:color w:val="auto"/>
                <w:lang w:eastAsia="zh-CN"/>
              </w:rPr>
              <w:t>40.2</w:t>
            </w:r>
          </w:p>
        </w:tc>
        <w:tc>
          <w:tcPr>
            <w:tcW w:w="230" w:type="pct"/>
            <w:tcBorders>
              <w:top w:val="nil"/>
              <w:right w:val="nil"/>
            </w:tcBorders>
            <w:shd w:val="clear" w:color="auto" w:fill="auto"/>
            <w:vAlign w:val="center"/>
          </w:tcPr>
          <w:p w14:paraId="6AF6916F"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10363AC6"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0B7983B1"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4FBDD4E6"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409D4CDA"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6D9A241B"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4D6802A3" w14:textId="77777777" w:rsidR="009907BA" w:rsidRPr="00803DAB" w:rsidRDefault="009907BA" w:rsidP="00F87A29">
            <w:pPr>
              <w:pStyle w:val="17-tablecontent"/>
              <w:rPr>
                <w:color w:val="auto"/>
                <w:lang w:eastAsia="zh-CN"/>
              </w:rPr>
            </w:pPr>
          </w:p>
        </w:tc>
        <w:tc>
          <w:tcPr>
            <w:tcW w:w="782" w:type="pct"/>
            <w:tcBorders>
              <w:top w:val="nil"/>
              <w:left w:val="nil"/>
              <w:bottom w:val="nil"/>
            </w:tcBorders>
            <w:vAlign w:val="center"/>
          </w:tcPr>
          <w:p w14:paraId="2A3A1789" w14:textId="13846332"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{"citationItems":[{"id":"ITEM-1","itemData":{"DOI":"10.1016/j.tafmec.2014.04.004","ISSN":"01678442","abstract":"The mechanical behavior of rock is strongly dependent on its embedded discontinuities such as cracks and joints. Natural rock joints are found to exist mostly with filling materials such as sand or clay as weak bond. The filling has been observed in engineering practice to have influence on rock failure behavior. To investigate this topic, the crack propagation behavior of the filled and unfilled crack is studied and compared by testing rock-like specimens subjected to uniaxial compression. A qualitative analysis of the crack propagation paths is described where crack is classified into four types, namely the original, secondary, wing and anti-wing cracks. The experiments indicate the crack initiation time, initiation location and propagation behavior are different between filled and unfilled joints. The experimental results also showed that the peak stress for filled joint is higher than for the unfilled. Numerical tests simulating the experimental process are carried out using the extended finite element method (XFEM) to explore complementary explanations and provide proofs to the experiments.","author":[{"dropping-particle":"","family":"Zhuang","given":"Xiaoying","non-dropping-particle":"","parse-names":false,"suffix":""},{"dropping-particle":"","family":"Chun","given":"Junwei","non-dropping-particle":"","parse-names":false,"suffix":""},{"dropping-particle":"","family":"Zhu","given":"Hehua","non-dropping-particle":"","parse-names":false,"suffix":""}],"container-title":"Theoretical and Applied Fracture Mechanics","id":"ITEM-1","issue":"1","issued":{"date-parts":[["2014"]]},"page":"110-120","publisher":"Elsevier Ltd","title":"A comparative study on unfilled and filled crack propagation for rock-like brittle material","type":"article-journal","volume":"72"},"uris":["http://www.mendeley.com/documents/?uuid=efd2dcf3-5c4b-4d39-a650-1c05ab6c991c"]}],"mendeley":{"formattedCitation":"(Zhuang et al., 2014)","manualFormatting":"Zhuang et al. (2014","plainTextFormattedCitation":"(Zhuang et al., 2014)","previouslyFormattedCitation":"(Zhuang et al. 2014)"},"properties":{"noteIndex":0},"schema":"https://github.com/citation-style-language/schema/raw/master/csl-citation.json"}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Zhuang et al. (2014</w:t>
            </w:r>
            <w:r w:rsidRPr="00803DAB">
              <w:rPr>
                <w:color w:val="auto"/>
                <w:lang w:eastAsia="zh-CN"/>
              </w:rPr>
              <w:fldChar w:fldCharType="end"/>
            </w:r>
            <w:r w:rsidRPr="00803DAB">
              <w:rPr>
                <w:color w:val="auto"/>
                <w:lang w:eastAsia="zh-CN"/>
              </w:rPr>
              <w:t>)</w:t>
            </w:r>
          </w:p>
        </w:tc>
      </w:tr>
      <w:tr w:rsidR="009907BA" w:rsidRPr="00803DAB" w14:paraId="781991DF" w14:textId="77777777" w:rsidTr="00F87A29">
        <w:tc>
          <w:tcPr>
            <w:tcW w:w="584" w:type="pct"/>
            <w:tcBorders>
              <w:top w:val="nil"/>
            </w:tcBorders>
            <w:vAlign w:val="center"/>
          </w:tcPr>
          <w:p w14:paraId="1A1CCE11"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39" w:type="pct"/>
            <w:tcBorders>
              <w:top w:val="nil"/>
            </w:tcBorders>
            <w:vAlign w:val="center"/>
          </w:tcPr>
          <w:p w14:paraId="5E1A2DB4" w14:textId="77777777" w:rsidR="009907BA" w:rsidRPr="00803DAB" w:rsidRDefault="009907BA" w:rsidP="00F87A29">
            <w:pPr>
              <w:pStyle w:val="17-tablecontent"/>
              <w:rPr>
                <w:color w:val="auto"/>
                <w:lang w:eastAsia="zh-CN"/>
              </w:rPr>
            </w:pPr>
            <w:r w:rsidRPr="00803DAB">
              <w:rPr>
                <w:color w:val="auto"/>
                <w:lang w:eastAsia="zh-CN"/>
              </w:rPr>
              <w:t>55</w:t>
            </w:r>
          </w:p>
        </w:tc>
        <w:tc>
          <w:tcPr>
            <w:tcW w:w="230" w:type="pct"/>
            <w:tcBorders>
              <w:top w:val="nil"/>
            </w:tcBorders>
            <w:shd w:val="clear" w:color="auto" w:fill="auto"/>
            <w:vAlign w:val="center"/>
          </w:tcPr>
          <w:p w14:paraId="2D582FD4" w14:textId="77777777" w:rsidR="009907BA" w:rsidRPr="00803DAB" w:rsidRDefault="009907BA" w:rsidP="00F87A29">
            <w:pPr>
              <w:pStyle w:val="17-tablecontent"/>
              <w:rPr>
                <w:color w:val="auto"/>
                <w:lang w:eastAsia="zh-CN"/>
              </w:rPr>
            </w:pPr>
          </w:p>
        </w:tc>
        <w:tc>
          <w:tcPr>
            <w:tcW w:w="266" w:type="pct"/>
            <w:tcBorders>
              <w:top w:val="nil"/>
              <w:left w:val="nil"/>
              <w:bottom w:val="nil"/>
              <w:right w:val="nil"/>
            </w:tcBorders>
            <w:shd w:val="clear" w:color="auto" w:fill="auto"/>
            <w:vAlign w:val="center"/>
          </w:tcPr>
          <w:p w14:paraId="2B2F9EE6" w14:textId="77777777" w:rsidR="009907BA" w:rsidRPr="00803DAB" w:rsidRDefault="009907BA" w:rsidP="00F87A29">
            <w:pPr>
              <w:pStyle w:val="17-tablecontent"/>
              <w:rPr>
                <w:color w:val="auto"/>
                <w:lang w:eastAsia="zh-CN"/>
              </w:rPr>
            </w:pPr>
          </w:p>
        </w:tc>
        <w:tc>
          <w:tcPr>
            <w:tcW w:w="266" w:type="pct"/>
            <w:tcBorders>
              <w:top w:val="nil"/>
              <w:left w:val="nil"/>
              <w:bottom w:val="nil"/>
              <w:right w:val="nil"/>
            </w:tcBorders>
            <w:shd w:val="clear" w:color="auto" w:fill="auto"/>
            <w:vAlign w:val="center"/>
          </w:tcPr>
          <w:p w14:paraId="5CEFB0F3"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72643A7C"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0A248995"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36BEC736" w14:textId="77777777" w:rsidR="009907BA" w:rsidRPr="00803DAB" w:rsidRDefault="009907BA" w:rsidP="00F87A29">
            <w:pPr>
              <w:pStyle w:val="17-tablecontent"/>
              <w:rPr>
                <w:color w:val="auto"/>
                <w:lang w:eastAsia="zh-CN"/>
              </w:rPr>
            </w:pPr>
          </w:p>
        </w:tc>
        <w:tc>
          <w:tcPr>
            <w:tcW w:w="230" w:type="pct"/>
            <w:tcBorders>
              <w:top w:val="nil"/>
            </w:tcBorders>
            <w:shd w:val="clear" w:color="auto" w:fill="auto"/>
            <w:vAlign w:val="center"/>
          </w:tcPr>
          <w:p w14:paraId="4FED314B" w14:textId="77777777" w:rsidR="009907BA" w:rsidRPr="00803DAB" w:rsidRDefault="009907BA" w:rsidP="00F87A29">
            <w:pPr>
              <w:pStyle w:val="17-tablecontent"/>
              <w:rPr>
                <w:color w:val="auto"/>
                <w:lang w:eastAsia="zh-CN"/>
              </w:rPr>
            </w:pPr>
          </w:p>
        </w:tc>
        <w:tc>
          <w:tcPr>
            <w:tcW w:w="230" w:type="pct"/>
            <w:tcBorders>
              <w:top w:val="nil"/>
              <w:right w:val="nil"/>
            </w:tcBorders>
            <w:shd w:val="clear" w:color="auto" w:fill="auto"/>
            <w:vAlign w:val="center"/>
          </w:tcPr>
          <w:p w14:paraId="5988D972" w14:textId="77777777" w:rsidR="009907BA" w:rsidRPr="00803DAB" w:rsidRDefault="009907BA" w:rsidP="00F87A29">
            <w:pPr>
              <w:pStyle w:val="17-tablecontent"/>
              <w:rPr>
                <w:color w:val="auto"/>
                <w:lang w:eastAsia="zh-CN"/>
              </w:rPr>
            </w:pPr>
            <w:r w:rsidRPr="00803DAB">
              <w:rPr>
                <w:color w:val="auto"/>
                <w:lang w:eastAsia="zh-CN"/>
              </w:rPr>
              <w:t>0.49</w:t>
            </w:r>
          </w:p>
        </w:tc>
        <w:tc>
          <w:tcPr>
            <w:tcW w:w="230" w:type="pct"/>
            <w:tcBorders>
              <w:top w:val="nil"/>
              <w:left w:val="nil"/>
              <w:bottom w:val="nil"/>
              <w:right w:val="nil"/>
            </w:tcBorders>
            <w:shd w:val="clear" w:color="auto" w:fill="auto"/>
            <w:vAlign w:val="center"/>
          </w:tcPr>
          <w:p w14:paraId="720AC407"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220F23AD" w14:textId="77777777" w:rsidR="009907BA" w:rsidRPr="00803DAB" w:rsidRDefault="009907BA" w:rsidP="00F87A29">
            <w:pPr>
              <w:pStyle w:val="17-tablecontent"/>
              <w:rPr>
                <w:color w:val="auto"/>
                <w:lang w:eastAsia="zh-CN"/>
              </w:rPr>
            </w:pPr>
            <w:r w:rsidRPr="00803DAB">
              <w:rPr>
                <w:color w:val="auto"/>
                <w:lang w:eastAsia="zh-CN"/>
              </w:rPr>
              <w:t>0.51</w:t>
            </w:r>
          </w:p>
        </w:tc>
        <w:tc>
          <w:tcPr>
            <w:tcW w:w="230" w:type="pct"/>
            <w:tcBorders>
              <w:top w:val="nil"/>
              <w:left w:val="nil"/>
              <w:bottom w:val="nil"/>
              <w:right w:val="nil"/>
            </w:tcBorders>
            <w:shd w:val="clear" w:color="auto" w:fill="auto"/>
            <w:vAlign w:val="center"/>
          </w:tcPr>
          <w:p w14:paraId="39D86350" w14:textId="77777777" w:rsidR="009907BA" w:rsidRPr="00803DAB" w:rsidRDefault="009907BA" w:rsidP="00F87A29">
            <w:pPr>
              <w:pStyle w:val="17-tablecontent"/>
              <w:rPr>
                <w:color w:val="auto"/>
                <w:lang w:eastAsia="zh-CN"/>
              </w:rPr>
            </w:pPr>
            <w:r w:rsidRPr="00803DAB">
              <w:rPr>
                <w:color w:val="auto"/>
                <w:lang w:eastAsia="zh-CN"/>
              </w:rPr>
              <w:t>0.5</w:t>
            </w:r>
          </w:p>
        </w:tc>
        <w:tc>
          <w:tcPr>
            <w:tcW w:w="230" w:type="pct"/>
            <w:tcBorders>
              <w:top w:val="nil"/>
              <w:left w:val="nil"/>
              <w:bottom w:val="nil"/>
              <w:right w:val="nil"/>
            </w:tcBorders>
            <w:shd w:val="clear" w:color="auto" w:fill="auto"/>
            <w:vAlign w:val="center"/>
          </w:tcPr>
          <w:p w14:paraId="3D66C822" w14:textId="77777777" w:rsidR="009907BA" w:rsidRPr="00803DAB" w:rsidRDefault="009907BA" w:rsidP="00F87A29">
            <w:pPr>
              <w:pStyle w:val="17-tablecontent"/>
              <w:rPr>
                <w:color w:val="auto"/>
                <w:lang w:eastAsia="zh-CN"/>
              </w:rPr>
            </w:pPr>
            <w:r w:rsidRPr="00803DAB">
              <w:rPr>
                <w:color w:val="auto"/>
                <w:lang w:eastAsia="zh-CN"/>
              </w:rPr>
              <w:t>0.6</w:t>
            </w:r>
          </w:p>
        </w:tc>
        <w:tc>
          <w:tcPr>
            <w:tcW w:w="230" w:type="pct"/>
            <w:tcBorders>
              <w:top w:val="nil"/>
              <w:left w:val="nil"/>
              <w:bottom w:val="nil"/>
              <w:right w:val="nil"/>
            </w:tcBorders>
            <w:shd w:val="clear" w:color="auto" w:fill="auto"/>
            <w:vAlign w:val="center"/>
          </w:tcPr>
          <w:p w14:paraId="2B18928D" w14:textId="77777777" w:rsidR="009907BA" w:rsidRPr="00803DAB" w:rsidRDefault="009907BA" w:rsidP="00F87A29">
            <w:pPr>
              <w:pStyle w:val="17-tablecontent"/>
              <w:rPr>
                <w:color w:val="auto"/>
                <w:lang w:eastAsia="zh-CN"/>
              </w:rPr>
            </w:pPr>
            <w:r w:rsidRPr="00803DAB">
              <w:rPr>
                <w:color w:val="auto"/>
                <w:lang w:eastAsia="zh-CN"/>
              </w:rPr>
              <w:t>0.7</w:t>
            </w:r>
          </w:p>
        </w:tc>
        <w:tc>
          <w:tcPr>
            <w:tcW w:w="230" w:type="pct"/>
            <w:tcBorders>
              <w:top w:val="nil"/>
              <w:left w:val="nil"/>
              <w:bottom w:val="nil"/>
              <w:right w:val="nil"/>
            </w:tcBorders>
            <w:shd w:val="clear" w:color="auto" w:fill="auto"/>
            <w:vAlign w:val="center"/>
          </w:tcPr>
          <w:p w14:paraId="68BAE8A9" w14:textId="77777777" w:rsidR="009907BA" w:rsidRPr="00803DAB" w:rsidRDefault="009907BA" w:rsidP="00F87A29">
            <w:pPr>
              <w:pStyle w:val="17-tablecontent"/>
              <w:rPr>
                <w:color w:val="auto"/>
                <w:lang w:eastAsia="zh-CN"/>
              </w:rPr>
            </w:pPr>
            <w:r w:rsidRPr="00803DAB">
              <w:rPr>
                <w:color w:val="auto"/>
                <w:lang w:eastAsia="zh-CN"/>
              </w:rPr>
              <w:t>0.73</w:t>
            </w:r>
          </w:p>
        </w:tc>
        <w:tc>
          <w:tcPr>
            <w:tcW w:w="782" w:type="pct"/>
            <w:tcBorders>
              <w:top w:val="nil"/>
              <w:left w:val="nil"/>
              <w:bottom w:val="nil"/>
            </w:tcBorders>
            <w:vAlign w:val="center"/>
          </w:tcPr>
          <w:p w14:paraId="657C997F" w14:textId="7AD16F14"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{"citationItems":[{"id":"ITEM-1","itemData":{"DOI":"10.1016/j.ijsolstr.2010.12.001","ISSN":"00207683","abstract":"This study presents crack initiation, propagation and coalescence at or near pre-existing open cracks or flaws in a specimen under uniaxial compression. The flaw geometry in the specimen was a combination of a horizontal flaw and an inclined flaw underneath. This flaw geometry is different from those reported in the previous studies, where a pair of parallel flaws was used. Three materials were used, PMMA (Poly Methyl MethAcrylate), Diastone (types of molded gypsum), and Hwangdeung granite. Crack initiation and propagation showed similar and different patterns depending on the material. In PMMA, tensile cracks initiated at the flaw tips and propagated to the tip of the other flaw in the bridge area. The cracks then coalesced at a point of the inclined flaw, which is affected by the flaw inclination angle. For Diastone and Hwangdeung granite, tensile cracks were observed followed by the initiation of shear cracks. Coalescence occurred mainly through the tensile cracks or tensile and shear cracks. Crack coalescence was classified according to the crack coalescence types of parallel flaws for overlapping flaw geometry in the past works. In addition, crack initiation and coalescence stresses in the double-flawed specimens were analyzed and compared with those in the single-flawed specimen. Numerical simulations using PFC2D (Particle Flow Code in two dimensions) based on the DEM (Discrete Element Method) were carried out and showed a good agreement with the experimental results in the coalescence characteristics in Hwangdeung granite. These experimental and numerical results are expected to improve the understanding of the characteristics of cracking and crack coalescence and can be used to analyze the stability of rock and rock structures, such as the excavated underground openings or slopes, tunneling construction, where pre-existing cracks or fractures play a crucial role in the overall integrity of such structures. © 2010 Elsevier Ltd. All rights reserved.","author":[{"dropping-particle":"","family":"Lee","given":"Heekwang","non-dropping-particle":"","parse-names":false,"suffix":""},{"dropping-particle":"","family":"Jeon","given":"Seokwon","non-dropping-particle":"","parse-names":false,"suffix":""}],"container-title":"International Journal of Solids and Structures","id":"ITEM-1","issue":"6","issued":{"date-parts":[["2011"]]},"page":"979-999","publisher":"Elsevier Ltd","title":"An experimental and numerical study of fracture coalescence in pre-cracked specimens under uniaxial compression","type":"article-journal","volume":"48"},"uris":["http://www.mendeley.com/documents/?uuid=411ebc44-24c4-41b3-b13a-07a36ef431cc"]}],"mendeley":{"formattedCitation":"(Lee and Jeon, 2011)","manualFormatting":"Lee and Jeon (2011","plainTextFormattedCitation":"(Lee and Jeon, 2011)","previouslyFormattedCitation":"(Lee and Jeon 2011)"},"properties":{"noteIndex":0},"schema":"https://github.com/citation-style-language/schema/raw/master/csl-citation.json"}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Lee and Jeon (2011</w:t>
            </w:r>
            <w:r w:rsidRPr="00803DAB">
              <w:rPr>
                <w:color w:val="auto"/>
                <w:lang w:eastAsia="zh-CN"/>
              </w:rPr>
              <w:fldChar w:fldCharType="end"/>
            </w:r>
            <w:r w:rsidRPr="00803DAB">
              <w:rPr>
                <w:color w:val="auto"/>
                <w:lang w:eastAsia="zh-CN"/>
              </w:rPr>
              <w:t>)</w:t>
            </w:r>
          </w:p>
        </w:tc>
      </w:tr>
      <w:tr w:rsidR="009907BA" w:rsidRPr="00803DAB" w14:paraId="6515954E" w14:textId="77777777" w:rsidTr="00F87A29">
        <w:tc>
          <w:tcPr>
            <w:tcW w:w="584" w:type="pct"/>
            <w:tcBorders>
              <w:top w:val="nil"/>
            </w:tcBorders>
            <w:vAlign w:val="center"/>
          </w:tcPr>
          <w:p w14:paraId="07FE1811" w14:textId="77777777" w:rsidR="009907BA" w:rsidRPr="00803DAB" w:rsidRDefault="009907BA" w:rsidP="00F87A29">
            <w:pPr>
              <w:pStyle w:val="17-tablecontent"/>
              <w:rPr>
                <w:color w:val="auto"/>
                <w:lang w:eastAsia="zh-CN"/>
              </w:rPr>
            </w:pPr>
            <w:r w:rsidRPr="00803DAB">
              <w:rPr>
                <w:color w:val="auto"/>
                <w:lang w:eastAsia="zh-CN"/>
              </w:rPr>
              <w:t>Rock-like material</w:t>
            </w:r>
          </w:p>
        </w:tc>
        <w:tc>
          <w:tcPr>
            <w:tcW w:w="339" w:type="pct"/>
            <w:tcBorders>
              <w:top w:val="nil"/>
            </w:tcBorders>
            <w:vAlign w:val="center"/>
          </w:tcPr>
          <w:p w14:paraId="39EE07FD" w14:textId="77777777" w:rsidR="009907BA" w:rsidRPr="00803DAB" w:rsidRDefault="009907BA" w:rsidP="00F87A29">
            <w:pPr>
              <w:pStyle w:val="17-tablecontent"/>
              <w:rPr>
                <w:color w:val="auto"/>
                <w:lang w:eastAsia="zh-CN"/>
              </w:rPr>
            </w:pPr>
          </w:p>
        </w:tc>
        <w:tc>
          <w:tcPr>
            <w:tcW w:w="230" w:type="pct"/>
            <w:tcBorders>
              <w:top w:val="nil"/>
            </w:tcBorders>
            <w:shd w:val="clear" w:color="auto" w:fill="auto"/>
            <w:vAlign w:val="center"/>
          </w:tcPr>
          <w:p w14:paraId="7BB53725" w14:textId="77777777" w:rsidR="009907BA" w:rsidRPr="00803DAB" w:rsidRDefault="009907BA" w:rsidP="00F87A29">
            <w:pPr>
              <w:pStyle w:val="17-tablecontent"/>
              <w:rPr>
                <w:color w:val="auto"/>
                <w:lang w:eastAsia="zh-CN"/>
              </w:rPr>
            </w:pPr>
            <w:r w:rsidRPr="00803DAB">
              <w:rPr>
                <w:color w:val="auto"/>
                <w:lang w:eastAsia="zh-CN"/>
              </w:rPr>
              <w:t>126</w:t>
            </w:r>
          </w:p>
        </w:tc>
        <w:tc>
          <w:tcPr>
            <w:tcW w:w="266" w:type="pct"/>
            <w:tcBorders>
              <w:top w:val="nil"/>
              <w:left w:val="nil"/>
              <w:bottom w:val="nil"/>
              <w:right w:val="nil"/>
            </w:tcBorders>
            <w:shd w:val="clear" w:color="auto" w:fill="auto"/>
            <w:vAlign w:val="center"/>
          </w:tcPr>
          <w:p w14:paraId="72117628" w14:textId="77777777" w:rsidR="009907BA" w:rsidRPr="00803DAB" w:rsidRDefault="009907BA" w:rsidP="00F87A29">
            <w:pPr>
              <w:pStyle w:val="17-tablecontent"/>
              <w:rPr>
                <w:color w:val="auto"/>
                <w:lang w:eastAsia="zh-CN"/>
              </w:rPr>
            </w:pPr>
            <w:r w:rsidRPr="00803DAB">
              <w:rPr>
                <w:color w:val="auto"/>
                <w:lang w:eastAsia="zh-CN"/>
              </w:rPr>
              <w:t>110</w:t>
            </w:r>
          </w:p>
        </w:tc>
        <w:tc>
          <w:tcPr>
            <w:tcW w:w="266" w:type="pct"/>
            <w:tcBorders>
              <w:top w:val="nil"/>
              <w:left w:val="nil"/>
              <w:bottom w:val="nil"/>
              <w:right w:val="nil"/>
            </w:tcBorders>
            <w:shd w:val="clear" w:color="auto" w:fill="auto"/>
            <w:vAlign w:val="center"/>
          </w:tcPr>
          <w:p w14:paraId="22EED624" w14:textId="77777777" w:rsidR="009907BA" w:rsidRPr="00803DAB" w:rsidRDefault="009907BA" w:rsidP="00F87A29">
            <w:pPr>
              <w:pStyle w:val="17-tablecontent"/>
              <w:rPr>
                <w:color w:val="auto"/>
                <w:lang w:eastAsia="zh-CN"/>
              </w:rPr>
            </w:pPr>
            <w:r w:rsidRPr="00803DAB">
              <w:rPr>
                <w:color w:val="auto"/>
                <w:lang w:eastAsia="zh-CN"/>
              </w:rPr>
              <w:t>99</w:t>
            </w:r>
          </w:p>
        </w:tc>
        <w:tc>
          <w:tcPr>
            <w:tcW w:w="230" w:type="pct"/>
            <w:tcBorders>
              <w:top w:val="nil"/>
              <w:left w:val="nil"/>
              <w:bottom w:val="nil"/>
              <w:right w:val="nil"/>
            </w:tcBorders>
            <w:shd w:val="clear" w:color="auto" w:fill="auto"/>
            <w:vAlign w:val="center"/>
          </w:tcPr>
          <w:p w14:paraId="3F99F56D" w14:textId="77777777" w:rsidR="009907BA" w:rsidRPr="00803DAB" w:rsidRDefault="009907BA" w:rsidP="00F87A29">
            <w:pPr>
              <w:pStyle w:val="17-tablecontent"/>
              <w:rPr>
                <w:color w:val="auto"/>
                <w:lang w:eastAsia="zh-CN"/>
              </w:rPr>
            </w:pPr>
            <w:r w:rsidRPr="00803DAB">
              <w:rPr>
                <w:color w:val="auto"/>
                <w:lang w:eastAsia="zh-CN"/>
              </w:rPr>
              <w:t>89</w:t>
            </w:r>
          </w:p>
        </w:tc>
        <w:tc>
          <w:tcPr>
            <w:tcW w:w="230" w:type="pct"/>
            <w:tcBorders>
              <w:top w:val="nil"/>
              <w:left w:val="nil"/>
              <w:bottom w:val="nil"/>
              <w:right w:val="nil"/>
            </w:tcBorders>
            <w:shd w:val="clear" w:color="auto" w:fill="auto"/>
            <w:vAlign w:val="center"/>
          </w:tcPr>
          <w:p w14:paraId="106921FB" w14:textId="77777777" w:rsidR="009907BA" w:rsidRPr="00803DAB" w:rsidRDefault="009907BA" w:rsidP="00F87A29">
            <w:pPr>
              <w:pStyle w:val="17-tablecontent"/>
              <w:rPr>
                <w:color w:val="auto"/>
                <w:lang w:eastAsia="zh-CN"/>
              </w:rPr>
            </w:pPr>
            <w:r w:rsidRPr="00803DAB">
              <w:rPr>
                <w:color w:val="auto"/>
                <w:lang w:eastAsia="zh-CN"/>
              </w:rPr>
              <w:t>87</w:t>
            </w:r>
          </w:p>
        </w:tc>
        <w:tc>
          <w:tcPr>
            <w:tcW w:w="230" w:type="pct"/>
            <w:tcBorders>
              <w:top w:val="nil"/>
              <w:left w:val="nil"/>
              <w:bottom w:val="nil"/>
              <w:right w:val="nil"/>
            </w:tcBorders>
            <w:shd w:val="clear" w:color="auto" w:fill="auto"/>
            <w:vAlign w:val="center"/>
          </w:tcPr>
          <w:p w14:paraId="2C494352" w14:textId="77777777" w:rsidR="009907BA" w:rsidRPr="00803DAB" w:rsidRDefault="009907BA" w:rsidP="00F87A29">
            <w:pPr>
              <w:pStyle w:val="17-tablecontent"/>
              <w:rPr>
                <w:color w:val="auto"/>
                <w:lang w:eastAsia="zh-CN"/>
              </w:rPr>
            </w:pPr>
          </w:p>
        </w:tc>
        <w:tc>
          <w:tcPr>
            <w:tcW w:w="230" w:type="pct"/>
            <w:tcBorders>
              <w:top w:val="nil"/>
            </w:tcBorders>
            <w:shd w:val="clear" w:color="auto" w:fill="auto"/>
            <w:vAlign w:val="center"/>
          </w:tcPr>
          <w:p w14:paraId="11A86FEB" w14:textId="77777777" w:rsidR="009907BA" w:rsidRPr="00803DAB" w:rsidRDefault="009907BA" w:rsidP="00F87A29">
            <w:pPr>
              <w:pStyle w:val="17-tablecontent"/>
              <w:rPr>
                <w:color w:val="auto"/>
                <w:lang w:eastAsia="zh-CN"/>
              </w:rPr>
            </w:pPr>
          </w:p>
        </w:tc>
        <w:tc>
          <w:tcPr>
            <w:tcW w:w="230" w:type="pct"/>
            <w:tcBorders>
              <w:top w:val="nil"/>
              <w:right w:val="nil"/>
            </w:tcBorders>
            <w:shd w:val="clear" w:color="auto" w:fill="auto"/>
            <w:vAlign w:val="center"/>
          </w:tcPr>
          <w:p w14:paraId="05DA36A8"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1F6F8BEC"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15579BC1"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5CFEE55F"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39B2586F"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09F77BE2"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7658539B" w14:textId="77777777" w:rsidR="009907BA" w:rsidRPr="00803DAB" w:rsidRDefault="009907BA" w:rsidP="00F87A29">
            <w:pPr>
              <w:pStyle w:val="17-tablecontent"/>
              <w:rPr>
                <w:color w:val="auto"/>
                <w:lang w:eastAsia="zh-CN"/>
              </w:rPr>
            </w:pPr>
          </w:p>
        </w:tc>
        <w:tc>
          <w:tcPr>
            <w:tcW w:w="782" w:type="pct"/>
            <w:tcBorders>
              <w:top w:val="nil"/>
              <w:left w:val="nil"/>
              <w:bottom w:val="nil"/>
            </w:tcBorders>
            <w:vAlign w:val="center"/>
          </w:tcPr>
          <w:p w14:paraId="358C5E97" w14:textId="0023B201"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{"citationItems":[{"id":"ITEM-1","itemData":{"DOI":"10.1016/j.tafmec.2019.102358","ISSN":"01678442","abstract":"In the uniaxial compression test of rock containing pre-existing flaws, the flaws are generally open, and the corresponding theoretical calculations are mostly based on the closed flaws. The suitable theoretical solution is needed for the crack initiation and extension of open flaws (Flaw: Prefabricated, inherent defects. Crack: Defects generated during the loading process). In this paper, first, the corresponding stress field formulae under compression are established by comparing and analyzing the stress field at the flaw tip under tensile condition. Then, ANSYS is used to simulate and confirm the stress field at the flaw tip under compression and shear conditions. Thus, the difference between the open flaw and the closed one is explained, and the stress field formulae of the open flaw tip under compression are determined without considering the flaw thickness. Second, based on the determined stress field formulae at the flaw tip, the relationship between the crack initiation angle of the open flaw tip and the inclination angle of the prefabricated flaw is derived. Finally, laboratory test and PFC simulation are conducted to verify the resulting crack initiation angle formulae. The experimental and simulation results are basically consistent with the theoretical formula.","author":[{"dropping-particle":"","family":"Lin","given":"Hang","non-dropping-particle":"","parse-names":false,"suffix":""},{"dropping-particle":"","family":"Yang","given":"Hengtao","non-dropping-particle":"","parse-names":false,"suffix":""},{"dropping-particle":"","family":"Wang","given":"Yixian","non-dropping-particle":"","parse-names":false,"suffix":""},{"dropping-particle":"","family":"Zhao","given":"Yanlin","non-dropping-particle":"","parse-names":false,"suffix":""},{"dropping-particle":"","family":"Cao","given":"Rihong","non-dropping-particle":"","parse-names":false,"suffix":""}],"container-title":"Theoretical and Applied Fracture Mechanics","id":"ITEM-1","issue":"March","issued":{"date-parts":[["2019"]]},"page":"102358","publisher":"Elsevier","title":"Determination of the stress field and crack initiation angle of an open flaw tip under uniaxial compression","type":"article-journal","volume":"104"},"uris":["http://www.mendeley.com/documents/?uuid=6faf9c11-64c3-4527-b039-0352a86a5e38"]}],"mendeley":{"formattedCitation":"(Lin et al., 2019)","manualFormatting":"Lin et al. (2019a","plainTextFormattedCitation":"(Lin et al., 2019)","previouslyFormattedCitation":"(Lin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Lin et al. (2019a</w:t>
            </w:r>
            <w:r w:rsidRPr="00803DAB">
              <w:rPr>
                <w:color w:val="auto"/>
                <w:lang w:eastAsia="zh-CN"/>
              </w:rPr>
              <w:fldChar w:fldCharType="end"/>
            </w:r>
            <w:r w:rsidRPr="00803DAB">
              <w:rPr>
                <w:color w:val="auto"/>
                <w:lang w:eastAsia="zh-CN"/>
              </w:rPr>
              <w:t>)</w:t>
            </w:r>
          </w:p>
        </w:tc>
      </w:tr>
      <w:tr w:rsidR="009907BA" w:rsidRPr="00803DAB" w14:paraId="7E624A0A" w14:textId="77777777" w:rsidTr="00F87A29">
        <w:tc>
          <w:tcPr>
            <w:tcW w:w="584" w:type="pct"/>
            <w:vAlign w:val="center"/>
          </w:tcPr>
          <w:p w14:paraId="080DB1FF" w14:textId="77777777" w:rsidR="009907BA" w:rsidRPr="00803DAB" w:rsidRDefault="009907BA" w:rsidP="00F87A29">
            <w:pPr>
              <w:pStyle w:val="17-tablecontent"/>
              <w:rPr>
                <w:color w:val="auto"/>
                <w:lang w:eastAsia="zh-CN"/>
              </w:rPr>
            </w:pPr>
            <w:r w:rsidRPr="00803DAB">
              <w:rPr>
                <w:color w:val="auto"/>
                <w:lang w:eastAsia="zh-CN"/>
              </w:rPr>
              <w:t>Sandstone</w:t>
            </w:r>
          </w:p>
        </w:tc>
        <w:tc>
          <w:tcPr>
            <w:tcW w:w="339" w:type="pct"/>
            <w:vAlign w:val="center"/>
          </w:tcPr>
          <w:p w14:paraId="10724341" w14:textId="77777777" w:rsidR="009907BA" w:rsidRPr="00803DAB" w:rsidRDefault="009907BA" w:rsidP="00F87A29">
            <w:pPr>
              <w:pStyle w:val="17-tablecontent"/>
              <w:rPr>
                <w:color w:val="auto"/>
                <w:lang w:eastAsia="zh-CN"/>
              </w:rPr>
            </w:pPr>
            <w:r w:rsidRPr="00803DAB">
              <w:rPr>
                <w:color w:val="auto"/>
                <w:lang w:eastAsia="zh-CN"/>
              </w:rPr>
              <w:t>~50</w:t>
            </w:r>
          </w:p>
        </w:tc>
        <w:tc>
          <w:tcPr>
            <w:tcW w:w="230" w:type="pct"/>
            <w:shd w:val="clear" w:color="auto" w:fill="auto"/>
            <w:vAlign w:val="center"/>
          </w:tcPr>
          <w:p w14:paraId="0A8AD043" w14:textId="77777777" w:rsidR="009907BA" w:rsidRPr="00803DAB" w:rsidRDefault="009907BA" w:rsidP="00F87A29">
            <w:pPr>
              <w:pStyle w:val="17-tablecontent"/>
              <w:rPr>
                <w:color w:val="auto"/>
                <w:lang w:eastAsia="zh-CN"/>
              </w:rPr>
            </w:pPr>
            <w:r w:rsidRPr="00803DAB">
              <w:rPr>
                <w:color w:val="auto"/>
                <w:lang w:eastAsia="zh-CN"/>
              </w:rPr>
              <w:t>90</w:t>
            </w:r>
          </w:p>
        </w:tc>
        <w:tc>
          <w:tcPr>
            <w:tcW w:w="266" w:type="pct"/>
            <w:tcBorders>
              <w:top w:val="nil"/>
              <w:left w:val="nil"/>
              <w:bottom w:val="nil"/>
              <w:right w:val="nil"/>
            </w:tcBorders>
            <w:shd w:val="clear" w:color="auto" w:fill="auto"/>
            <w:vAlign w:val="center"/>
          </w:tcPr>
          <w:p w14:paraId="0A643DEF" w14:textId="77777777" w:rsidR="009907BA" w:rsidRPr="00803DAB" w:rsidRDefault="009907BA" w:rsidP="00F87A29">
            <w:pPr>
              <w:pStyle w:val="17-tablecontent"/>
              <w:rPr>
                <w:color w:val="auto"/>
                <w:lang w:eastAsia="zh-CN"/>
              </w:rPr>
            </w:pPr>
            <w:r w:rsidRPr="00803DAB">
              <w:rPr>
                <w:color w:val="auto"/>
                <w:lang w:eastAsia="zh-CN"/>
              </w:rPr>
              <w:t>88</w:t>
            </w:r>
          </w:p>
        </w:tc>
        <w:tc>
          <w:tcPr>
            <w:tcW w:w="266" w:type="pct"/>
            <w:tcBorders>
              <w:top w:val="nil"/>
              <w:left w:val="nil"/>
              <w:bottom w:val="nil"/>
              <w:right w:val="nil"/>
            </w:tcBorders>
            <w:shd w:val="clear" w:color="auto" w:fill="auto"/>
            <w:vAlign w:val="center"/>
          </w:tcPr>
          <w:p w14:paraId="42A8B804" w14:textId="77777777" w:rsidR="009907BA" w:rsidRPr="00803DAB" w:rsidRDefault="009907BA" w:rsidP="00F87A29">
            <w:pPr>
              <w:pStyle w:val="17-tablecontent"/>
              <w:rPr>
                <w:color w:val="auto"/>
                <w:lang w:eastAsia="zh-CN"/>
              </w:rPr>
            </w:pPr>
            <w:r w:rsidRPr="00803DAB">
              <w:rPr>
                <w:color w:val="auto"/>
                <w:lang w:eastAsia="zh-CN"/>
              </w:rPr>
              <w:t>90</w:t>
            </w:r>
          </w:p>
        </w:tc>
        <w:tc>
          <w:tcPr>
            <w:tcW w:w="230" w:type="pct"/>
            <w:tcBorders>
              <w:top w:val="nil"/>
              <w:left w:val="nil"/>
              <w:bottom w:val="nil"/>
              <w:right w:val="nil"/>
            </w:tcBorders>
            <w:shd w:val="clear" w:color="auto" w:fill="auto"/>
            <w:vAlign w:val="center"/>
          </w:tcPr>
          <w:p w14:paraId="5DA84226" w14:textId="77777777" w:rsidR="009907BA" w:rsidRPr="00803DAB" w:rsidRDefault="009907BA" w:rsidP="00F87A29">
            <w:pPr>
              <w:pStyle w:val="17-tablecontent"/>
              <w:rPr>
                <w:color w:val="auto"/>
                <w:lang w:eastAsia="zh-CN"/>
              </w:rPr>
            </w:pPr>
            <w:r w:rsidRPr="00803DAB">
              <w:rPr>
                <w:color w:val="auto"/>
                <w:lang w:eastAsia="zh-CN"/>
              </w:rPr>
              <w:t>81</w:t>
            </w:r>
          </w:p>
        </w:tc>
        <w:tc>
          <w:tcPr>
            <w:tcW w:w="230" w:type="pct"/>
            <w:tcBorders>
              <w:top w:val="nil"/>
              <w:left w:val="nil"/>
              <w:bottom w:val="nil"/>
              <w:right w:val="nil"/>
            </w:tcBorders>
            <w:shd w:val="clear" w:color="auto" w:fill="auto"/>
            <w:vAlign w:val="center"/>
          </w:tcPr>
          <w:p w14:paraId="1AFE9DB3" w14:textId="77777777" w:rsidR="009907BA" w:rsidRPr="00803DAB" w:rsidRDefault="009907BA" w:rsidP="00F87A29">
            <w:pPr>
              <w:pStyle w:val="17-tablecontent"/>
              <w:rPr>
                <w:color w:val="auto"/>
                <w:lang w:eastAsia="zh-CN"/>
              </w:rPr>
            </w:pPr>
            <w:r w:rsidRPr="00803DAB">
              <w:rPr>
                <w:color w:val="auto"/>
                <w:lang w:eastAsia="zh-CN"/>
              </w:rPr>
              <w:t>35</w:t>
            </w:r>
          </w:p>
        </w:tc>
        <w:tc>
          <w:tcPr>
            <w:tcW w:w="230" w:type="pct"/>
            <w:tcBorders>
              <w:top w:val="nil"/>
              <w:left w:val="nil"/>
              <w:bottom w:val="nil"/>
              <w:right w:val="nil"/>
            </w:tcBorders>
            <w:shd w:val="clear" w:color="auto" w:fill="auto"/>
            <w:vAlign w:val="center"/>
          </w:tcPr>
          <w:p w14:paraId="34F4931A" w14:textId="77777777" w:rsidR="009907BA" w:rsidRPr="00803DAB" w:rsidRDefault="009907BA" w:rsidP="00F87A29">
            <w:pPr>
              <w:pStyle w:val="17-tablecontent"/>
              <w:rPr>
                <w:color w:val="auto"/>
                <w:lang w:eastAsia="zh-CN"/>
              </w:rPr>
            </w:pPr>
          </w:p>
        </w:tc>
        <w:tc>
          <w:tcPr>
            <w:tcW w:w="230" w:type="pct"/>
            <w:shd w:val="clear" w:color="auto" w:fill="auto"/>
            <w:vAlign w:val="center"/>
          </w:tcPr>
          <w:p w14:paraId="25BC1354" w14:textId="77777777" w:rsidR="009907BA" w:rsidRPr="00803DAB" w:rsidRDefault="009907BA" w:rsidP="00F87A29">
            <w:pPr>
              <w:pStyle w:val="17-tablecontent"/>
              <w:rPr>
                <w:color w:val="auto"/>
                <w:lang w:eastAsia="zh-CN"/>
              </w:rPr>
            </w:pPr>
          </w:p>
        </w:tc>
        <w:tc>
          <w:tcPr>
            <w:tcW w:w="230" w:type="pct"/>
            <w:tcBorders>
              <w:bottom w:val="nil"/>
            </w:tcBorders>
            <w:shd w:val="clear" w:color="auto" w:fill="auto"/>
            <w:vAlign w:val="center"/>
          </w:tcPr>
          <w:p w14:paraId="3B3E50E9" w14:textId="77777777" w:rsidR="009907BA" w:rsidRPr="00803DAB" w:rsidRDefault="009907BA" w:rsidP="00F87A29">
            <w:pPr>
              <w:pStyle w:val="17-tablecontent"/>
              <w:rPr>
                <w:color w:val="auto"/>
                <w:lang w:eastAsia="zh-CN"/>
              </w:rPr>
            </w:pPr>
            <w:r w:rsidRPr="00803DAB">
              <w:rPr>
                <w:color w:val="auto"/>
                <w:lang w:eastAsia="zh-CN"/>
              </w:rPr>
              <w:t>0.56</w:t>
            </w:r>
          </w:p>
        </w:tc>
        <w:tc>
          <w:tcPr>
            <w:tcW w:w="230" w:type="pct"/>
            <w:tcBorders>
              <w:top w:val="nil"/>
              <w:left w:val="nil"/>
              <w:bottom w:val="nil"/>
              <w:right w:val="nil"/>
            </w:tcBorders>
            <w:shd w:val="clear" w:color="auto" w:fill="auto"/>
            <w:vAlign w:val="center"/>
          </w:tcPr>
          <w:p w14:paraId="60B2DADA" w14:textId="77777777" w:rsidR="009907BA" w:rsidRPr="00803DAB" w:rsidRDefault="009907BA" w:rsidP="00F87A29">
            <w:pPr>
              <w:pStyle w:val="17-tablecontent"/>
              <w:rPr>
                <w:color w:val="auto"/>
                <w:lang w:eastAsia="zh-CN"/>
              </w:rPr>
            </w:pPr>
            <w:r w:rsidRPr="00803DAB">
              <w:rPr>
                <w:color w:val="auto"/>
                <w:lang w:eastAsia="zh-CN"/>
              </w:rPr>
              <w:t>0.6</w:t>
            </w:r>
          </w:p>
        </w:tc>
        <w:tc>
          <w:tcPr>
            <w:tcW w:w="230" w:type="pct"/>
            <w:tcBorders>
              <w:top w:val="nil"/>
              <w:left w:val="nil"/>
              <w:bottom w:val="nil"/>
              <w:right w:val="nil"/>
            </w:tcBorders>
            <w:shd w:val="clear" w:color="auto" w:fill="auto"/>
            <w:vAlign w:val="center"/>
          </w:tcPr>
          <w:p w14:paraId="4882BFBA" w14:textId="77777777" w:rsidR="009907BA" w:rsidRPr="00803DAB" w:rsidRDefault="009907BA" w:rsidP="00F87A29">
            <w:pPr>
              <w:pStyle w:val="17-tablecontent"/>
              <w:rPr>
                <w:color w:val="auto"/>
                <w:lang w:eastAsia="zh-CN"/>
              </w:rPr>
            </w:pPr>
            <w:r w:rsidRPr="00803DAB">
              <w:rPr>
                <w:color w:val="auto"/>
                <w:lang w:eastAsia="zh-CN"/>
              </w:rPr>
              <w:t>0.77</w:t>
            </w:r>
          </w:p>
        </w:tc>
        <w:tc>
          <w:tcPr>
            <w:tcW w:w="230" w:type="pct"/>
            <w:tcBorders>
              <w:top w:val="nil"/>
              <w:left w:val="nil"/>
              <w:bottom w:val="nil"/>
              <w:right w:val="nil"/>
            </w:tcBorders>
            <w:shd w:val="clear" w:color="auto" w:fill="auto"/>
            <w:vAlign w:val="center"/>
          </w:tcPr>
          <w:p w14:paraId="5B0216F0" w14:textId="77777777" w:rsidR="009907BA" w:rsidRPr="00803DAB" w:rsidRDefault="009907BA" w:rsidP="00F87A29">
            <w:pPr>
              <w:pStyle w:val="17-tablecontent"/>
              <w:rPr>
                <w:color w:val="auto"/>
                <w:lang w:eastAsia="zh-CN"/>
              </w:rPr>
            </w:pPr>
            <w:r w:rsidRPr="00803DAB">
              <w:rPr>
                <w:color w:val="auto"/>
                <w:lang w:eastAsia="zh-CN"/>
              </w:rPr>
              <w:t>0.82</w:t>
            </w:r>
          </w:p>
        </w:tc>
        <w:tc>
          <w:tcPr>
            <w:tcW w:w="230" w:type="pct"/>
            <w:tcBorders>
              <w:top w:val="nil"/>
              <w:left w:val="nil"/>
              <w:bottom w:val="nil"/>
              <w:right w:val="nil"/>
            </w:tcBorders>
            <w:shd w:val="clear" w:color="auto" w:fill="auto"/>
            <w:vAlign w:val="center"/>
          </w:tcPr>
          <w:p w14:paraId="7A36E341" w14:textId="77777777" w:rsidR="009907BA" w:rsidRPr="00803DAB" w:rsidRDefault="009907BA" w:rsidP="00F87A29">
            <w:pPr>
              <w:pStyle w:val="17-tablecontent"/>
              <w:rPr>
                <w:color w:val="auto"/>
                <w:lang w:eastAsia="zh-CN"/>
              </w:rPr>
            </w:pPr>
            <w:r w:rsidRPr="00803DAB">
              <w:rPr>
                <w:color w:val="auto"/>
                <w:lang w:eastAsia="zh-CN"/>
              </w:rPr>
              <w:t>0.87</w:t>
            </w:r>
          </w:p>
        </w:tc>
        <w:tc>
          <w:tcPr>
            <w:tcW w:w="230" w:type="pct"/>
            <w:tcBorders>
              <w:top w:val="nil"/>
              <w:left w:val="nil"/>
              <w:bottom w:val="nil"/>
              <w:right w:val="nil"/>
            </w:tcBorders>
            <w:shd w:val="clear" w:color="auto" w:fill="auto"/>
            <w:vAlign w:val="center"/>
          </w:tcPr>
          <w:p w14:paraId="26B92E4C" w14:textId="77777777" w:rsidR="009907BA" w:rsidRPr="00803DAB" w:rsidRDefault="009907BA" w:rsidP="00F87A29">
            <w:pPr>
              <w:pStyle w:val="17-tablecontent"/>
              <w:rPr>
                <w:color w:val="auto"/>
                <w:lang w:eastAsia="zh-CN"/>
              </w:rPr>
            </w:pPr>
            <w:r w:rsidRPr="00803DAB">
              <w:rPr>
                <w:color w:val="auto"/>
                <w:lang w:eastAsia="zh-CN"/>
              </w:rPr>
              <w:t>0.99</w:t>
            </w:r>
          </w:p>
        </w:tc>
        <w:tc>
          <w:tcPr>
            <w:tcW w:w="230" w:type="pct"/>
            <w:tcBorders>
              <w:top w:val="nil"/>
              <w:bottom w:val="nil"/>
            </w:tcBorders>
            <w:shd w:val="clear" w:color="auto" w:fill="auto"/>
            <w:vAlign w:val="center"/>
          </w:tcPr>
          <w:p w14:paraId="2931F2DA" w14:textId="77777777" w:rsidR="009907BA" w:rsidRPr="00803DAB" w:rsidRDefault="009907BA" w:rsidP="00F87A29">
            <w:pPr>
              <w:pStyle w:val="17-tablecontent"/>
              <w:rPr>
                <w:color w:val="auto"/>
                <w:lang w:eastAsia="zh-CN"/>
              </w:rPr>
            </w:pPr>
            <w:r w:rsidRPr="00803DAB">
              <w:rPr>
                <w:color w:val="auto"/>
                <w:lang w:eastAsia="zh-CN"/>
              </w:rPr>
              <w:t>0.9</w:t>
            </w:r>
          </w:p>
        </w:tc>
        <w:tc>
          <w:tcPr>
            <w:tcW w:w="782" w:type="pct"/>
            <w:tcBorders>
              <w:top w:val="nil"/>
            </w:tcBorders>
            <w:vAlign w:val="center"/>
          </w:tcPr>
          <w:p w14:paraId="7C3E557B" w14:textId="370A6A48"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{"citationItems":[{"id":"ITEM-1","itemData":{"DOI":"10.1016/j.engfracmech.2018.10.009","ISSN":"00137944","abstract":"Natural rock joints with infilling materials such as clay, broken rock fragments, or even cement mortar infusion material are common in the field of rock engineering. The fracture behavior of a rock with a filled flaw is related to both the flaw inclination and mechanical properties of the infilling materials. In this study, uniaxial compression experiments were performed for sandstone specimens with different flaw inclinations varying from 0° to 90° and four kinds of infilling conditions, including no filler, gypsum filler, cement filler, and resin filler were considered. The damage process of specimens was revealed and traced by acoustic emission (AE) and digital image correlation (DIC) to comprehensively understand the cracking evolution. Macroscopic cracking information was recorded with a high-resolution camera, and crack patterns were identified and classified. The influence of infilling material and flaw inclination on the sandstone cracking process was studied. The tensile stress was found to be suppressed due to the existence of infilling materials, and different infilling materials have different effects on the crack initiation stress. As a result, specimens with a filled flaw have larger crack initiation stress levels and smaller crack inclination angles than specimens with an unfilled flaw. The effects of infilling materials and flaw inclination angles on crack initiation are analyzed with a theoretical model based on the Coulomb friction law. The compressibility effect of infilling materials on the cracking behavior is also investigated through displacement and strain fields.","author":[{"dropping-particle":"","family":"Miao","given":"Shuting","non-dropping-particle":"","parse-names":false,"suffix":""},{"dropping-particle":"","family":"Pan","given":"Peng Zhi","non-dropping-particle":"","parse-names":false,"suffix":""},{"dropping-particle":"","family":"Wu","given":"Zhenhua","non-dropping-particle":"","parse-names":false,"suffix":""},{"dropping-particle":"","family":"Li","given":"Shaojun","non-dropping-particle":"","parse-names":false,"suffix":""},{"dropping-particle":"","family":"Zhao","given":"Shankun","non-dropping-particle":"","parse-names":false,"suffix":""}],"container-title":"Engineering Fracture Mechanics","id":"ITEM-1","issue":"June","issued":{"date-parts":[["2018"]]},"page":"319-343","title":"Fracture analysis of sandstone with a single filled flaw under uniaxial compression","type":"article-journal","volume":"204"},"uris":["http://www.mendeley.com/documents/?uuid=c378291c-e5c1-4f59-8f78-68498f1bf6f5"]}],"mendeley":{"formattedCitation":"(Miao et al., 2018)","manualFormatting":"Miao et al. (2018","plainTextFormattedCitation":"(Miao et al., 2018)","previouslyFormattedCitation":"(Miao et al. 2018)"},"properties":{"noteIndex":0},"schema":"https://github.com/citation-style-language/schema/raw/master/csl-citation.json"}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Miao et al. (2018</w:t>
            </w:r>
            <w:r w:rsidRPr="00803DAB">
              <w:rPr>
                <w:color w:val="auto"/>
                <w:lang w:eastAsia="zh-CN"/>
              </w:rPr>
              <w:fldChar w:fldCharType="end"/>
            </w:r>
            <w:r w:rsidRPr="00803DAB">
              <w:rPr>
                <w:color w:val="auto"/>
                <w:lang w:eastAsia="zh-CN"/>
              </w:rPr>
              <w:t>)</w:t>
            </w:r>
          </w:p>
        </w:tc>
      </w:tr>
      <w:tr w:rsidR="009907BA" w:rsidRPr="00803DAB" w14:paraId="0E9D606B" w14:textId="77777777" w:rsidTr="00F87A29">
        <w:tc>
          <w:tcPr>
            <w:tcW w:w="584" w:type="pct"/>
            <w:tcBorders>
              <w:bottom w:val="nil"/>
            </w:tcBorders>
            <w:vAlign w:val="center"/>
          </w:tcPr>
          <w:p w14:paraId="1BBF534D" w14:textId="77777777" w:rsidR="009907BA" w:rsidRPr="00803DAB" w:rsidRDefault="009907BA" w:rsidP="00F87A29">
            <w:pPr>
              <w:pStyle w:val="17-tablecontent"/>
              <w:rPr>
                <w:color w:val="auto"/>
                <w:lang w:eastAsia="zh-CN"/>
              </w:rPr>
            </w:pPr>
            <w:r w:rsidRPr="00803DAB">
              <w:rPr>
                <w:color w:val="auto"/>
                <w:lang w:eastAsia="zh-CN"/>
              </w:rPr>
              <w:t>Sandstone</w:t>
            </w:r>
          </w:p>
        </w:tc>
        <w:tc>
          <w:tcPr>
            <w:tcW w:w="339" w:type="pct"/>
            <w:tcBorders>
              <w:bottom w:val="nil"/>
            </w:tcBorders>
            <w:vAlign w:val="center"/>
          </w:tcPr>
          <w:p w14:paraId="15EB7995" w14:textId="77777777" w:rsidR="009907BA" w:rsidRPr="00803DAB" w:rsidRDefault="009907BA" w:rsidP="00F87A29">
            <w:pPr>
              <w:pStyle w:val="17-tablecontent"/>
              <w:rPr>
                <w:color w:val="auto"/>
                <w:lang w:eastAsia="zh-CN"/>
              </w:rPr>
            </w:pPr>
            <w:r w:rsidRPr="00803DAB">
              <w:rPr>
                <w:color w:val="auto"/>
                <w:lang w:eastAsia="zh-CN"/>
              </w:rPr>
              <w:t>~50</w:t>
            </w:r>
          </w:p>
        </w:tc>
        <w:tc>
          <w:tcPr>
            <w:tcW w:w="230" w:type="pct"/>
            <w:tcBorders>
              <w:bottom w:val="nil"/>
            </w:tcBorders>
            <w:shd w:val="clear" w:color="auto" w:fill="auto"/>
            <w:vAlign w:val="center"/>
          </w:tcPr>
          <w:p w14:paraId="05A3FCFC" w14:textId="77777777" w:rsidR="009907BA" w:rsidRPr="00803DAB" w:rsidRDefault="009907BA" w:rsidP="00F87A29">
            <w:pPr>
              <w:pStyle w:val="17-tablecontent"/>
              <w:rPr>
                <w:color w:val="auto"/>
                <w:lang w:eastAsia="zh-CN"/>
              </w:rPr>
            </w:pPr>
            <w:r w:rsidRPr="00803DAB">
              <w:rPr>
                <w:color w:val="auto"/>
                <w:lang w:eastAsia="zh-CN"/>
              </w:rPr>
              <w:t>90</w:t>
            </w:r>
          </w:p>
        </w:tc>
        <w:tc>
          <w:tcPr>
            <w:tcW w:w="266" w:type="pct"/>
            <w:tcBorders>
              <w:bottom w:val="nil"/>
            </w:tcBorders>
            <w:shd w:val="clear" w:color="auto" w:fill="auto"/>
            <w:vAlign w:val="center"/>
          </w:tcPr>
          <w:p w14:paraId="7F2CF755" w14:textId="77777777" w:rsidR="009907BA" w:rsidRPr="00803DAB" w:rsidRDefault="009907BA" w:rsidP="00F87A29">
            <w:pPr>
              <w:pStyle w:val="17-tablecontent"/>
              <w:rPr>
                <w:color w:val="auto"/>
                <w:lang w:eastAsia="zh-CN"/>
              </w:rPr>
            </w:pPr>
            <w:r w:rsidRPr="00803DAB">
              <w:rPr>
                <w:color w:val="auto"/>
                <w:lang w:eastAsia="zh-CN"/>
              </w:rPr>
              <w:t>81</w:t>
            </w:r>
          </w:p>
        </w:tc>
        <w:tc>
          <w:tcPr>
            <w:tcW w:w="266" w:type="pct"/>
            <w:tcBorders>
              <w:bottom w:val="nil"/>
            </w:tcBorders>
            <w:shd w:val="clear" w:color="auto" w:fill="auto"/>
            <w:vAlign w:val="center"/>
          </w:tcPr>
          <w:p w14:paraId="7B196306" w14:textId="77777777" w:rsidR="009907BA" w:rsidRPr="00803DAB" w:rsidRDefault="009907BA" w:rsidP="00F87A29">
            <w:pPr>
              <w:pStyle w:val="17-tablecontent"/>
              <w:rPr>
                <w:color w:val="auto"/>
                <w:lang w:eastAsia="zh-CN"/>
              </w:rPr>
            </w:pPr>
            <w:r w:rsidRPr="00803DAB">
              <w:rPr>
                <w:color w:val="auto"/>
                <w:lang w:eastAsia="zh-CN"/>
              </w:rPr>
              <w:t>72</w:t>
            </w:r>
          </w:p>
        </w:tc>
        <w:tc>
          <w:tcPr>
            <w:tcW w:w="230" w:type="pct"/>
            <w:tcBorders>
              <w:bottom w:val="nil"/>
            </w:tcBorders>
            <w:shd w:val="clear" w:color="auto" w:fill="auto"/>
            <w:vAlign w:val="center"/>
          </w:tcPr>
          <w:p w14:paraId="17F8D3CB" w14:textId="77777777" w:rsidR="009907BA" w:rsidRPr="00803DAB" w:rsidRDefault="009907BA" w:rsidP="00F87A29">
            <w:pPr>
              <w:pStyle w:val="17-tablecontent"/>
              <w:rPr>
                <w:color w:val="auto"/>
                <w:lang w:eastAsia="zh-CN"/>
              </w:rPr>
            </w:pPr>
            <w:r w:rsidRPr="00803DAB">
              <w:rPr>
                <w:color w:val="auto"/>
                <w:lang w:eastAsia="zh-CN"/>
              </w:rPr>
              <w:t>53</w:t>
            </w:r>
          </w:p>
        </w:tc>
        <w:tc>
          <w:tcPr>
            <w:tcW w:w="230" w:type="pct"/>
            <w:tcBorders>
              <w:bottom w:val="nil"/>
            </w:tcBorders>
            <w:shd w:val="clear" w:color="auto" w:fill="auto"/>
            <w:vAlign w:val="center"/>
          </w:tcPr>
          <w:p w14:paraId="3FE1DAE7" w14:textId="77777777" w:rsidR="009907BA" w:rsidRPr="00803DAB" w:rsidRDefault="009907BA" w:rsidP="00F87A29">
            <w:pPr>
              <w:pStyle w:val="17-tablecontent"/>
              <w:rPr>
                <w:color w:val="auto"/>
                <w:lang w:eastAsia="zh-CN"/>
              </w:rPr>
            </w:pPr>
            <w:r w:rsidRPr="00803DAB">
              <w:rPr>
                <w:color w:val="auto"/>
                <w:lang w:eastAsia="zh-CN"/>
              </w:rPr>
              <w:t>25</w:t>
            </w:r>
          </w:p>
        </w:tc>
        <w:tc>
          <w:tcPr>
            <w:tcW w:w="230" w:type="pct"/>
            <w:tcBorders>
              <w:bottom w:val="nil"/>
            </w:tcBorders>
            <w:shd w:val="clear" w:color="auto" w:fill="auto"/>
            <w:vAlign w:val="center"/>
          </w:tcPr>
          <w:p w14:paraId="5697A6AF" w14:textId="77777777" w:rsidR="009907BA" w:rsidRPr="00803DAB" w:rsidRDefault="009907BA" w:rsidP="00F87A29">
            <w:pPr>
              <w:pStyle w:val="17-tablecontent"/>
              <w:rPr>
                <w:color w:val="auto"/>
                <w:lang w:eastAsia="zh-CN"/>
              </w:rPr>
            </w:pPr>
          </w:p>
        </w:tc>
        <w:tc>
          <w:tcPr>
            <w:tcW w:w="230" w:type="pct"/>
            <w:tcBorders>
              <w:bottom w:val="nil"/>
            </w:tcBorders>
            <w:shd w:val="clear" w:color="auto" w:fill="auto"/>
            <w:vAlign w:val="center"/>
          </w:tcPr>
          <w:p w14:paraId="12E26E74" w14:textId="77777777" w:rsidR="009907BA" w:rsidRPr="00803DAB" w:rsidRDefault="009907BA" w:rsidP="00F87A29">
            <w:pPr>
              <w:pStyle w:val="17-tablecontent"/>
              <w:rPr>
                <w:color w:val="auto"/>
                <w:lang w:eastAsia="zh-CN"/>
              </w:rPr>
            </w:pPr>
            <w:r w:rsidRPr="00803DAB">
              <w:rPr>
                <w:color w:val="auto"/>
                <w:lang w:eastAsia="zh-CN"/>
              </w:rPr>
              <w:t>0</w:t>
            </w:r>
          </w:p>
        </w:tc>
        <w:tc>
          <w:tcPr>
            <w:tcW w:w="230" w:type="pct"/>
            <w:tcBorders>
              <w:top w:val="nil"/>
              <w:left w:val="nil"/>
              <w:bottom w:val="nil"/>
              <w:right w:val="nil"/>
            </w:tcBorders>
            <w:shd w:val="clear" w:color="auto" w:fill="auto"/>
            <w:vAlign w:val="center"/>
          </w:tcPr>
          <w:p w14:paraId="13B41AAE" w14:textId="77777777" w:rsidR="009907BA" w:rsidRPr="00803DAB" w:rsidRDefault="009907BA" w:rsidP="00F87A29">
            <w:pPr>
              <w:pStyle w:val="17-tablecontent"/>
              <w:rPr>
                <w:color w:val="auto"/>
                <w:lang w:eastAsia="zh-CN"/>
              </w:rPr>
            </w:pPr>
            <w:r w:rsidRPr="00803DAB">
              <w:rPr>
                <w:color w:val="auto"/>
                <w:lang w:eastAsia="zh-CN"/>
              </w:rPr>
              <w:t>0.87</w:t>
            </w:r>
          </w:p>
        </w:tc>
        <w:tc>
          <w:tcPr>
            <w:tcW w:w="230" w:type="pct"/>
            <w:tcBorders>
              <w:top w:val="nil"/>
              <w:left w:val="nil"/>
              <w:bottom w:val="nil"/>
              <w:right w:val="nil"/>
            </w:tcBorders>
            <w:shd w:val="clear" w:color="auto" w:fill="auto"/>
            <w:vAlign w:val="center"/>
          </w:tcPr>
          <w:p w14:paraId="7F704412" w14:textId="77777777" w:rsidR="009907BA" w:rsidRPr="00803DAB" w:rsidRDefault="009907BA" w:rsidP="00F87A29">
            <w:pPr>
              <w:pStyle w:val="17-tablecontent"/>
              <w:rPr>
                <w:color w:val="auto"/>
                <w:lang w:eastAsia="zh-CN"/>
              </w:rPr>
            </w:pPr>
            <w:r w:rsidRPr="00803DAB">
              <w:rPr>
                <w:color w:val="auto"/>
                <w:lang w:eastAsia="zh-CN"/>
              </w:rPr>
              <w:t>0.81</w:t>
            </w:r>
          </w:p>
        </w:tc>
        <w:tc>
          <w:tcPr>
            <w:tcW w:w="230" w:type="pct"/>
            <w:tcBorders>
              <w:top w:val="nil"/>
              <w:left w:val="nil"/>
              <w:bottom w:val="nil"/>
              <w:right w:val="nil"/>
            </w:tcBorders>
            <w:shd w:val="clear" w:color="auto" w:fill="auto"/>
            <w:vAlign w:val="center"/>
          </w:tcPr>
          <w:p w14:paraId="10F075F4" w14:textId="77777777" w:rsidR="009907BA" w:rsidRPr="00803DAB" w:rsidRDefault="009907BA" w:rsidP="00F87A29">
            <w:pPr>
              <w:pStyle w:val="17-tablecontent"/>
              <w:rPr>
                <w:color w:val="auto"/>
                <w:lang w:eastAsia="zh-CN"/>
              </w:rPr>
            </w:pPr>
            <w:r w:rsidRPr="00803DAB">
              <w:rPr>
                <w:color w:val="auto"/>
                <w:lang w:eastAsia="zh-CN"/>
              </w:rPr>
              <w:t>0.86</w:t>
            </w:r>
          </w:p>
        </w:tc>
        <w:tc>
          <w:tcPr>
            <w:tcW w:w="230" w:type="pct"/>
            <w:tcBorders>
              <w:top w:val="nil"/>
              <w:left w:val="nil"/>
              <w:bottom w:val="nil"/>
              <w:right w:val="nil"/>
            </w:tcBorders>
            <w:shd w:val="clear" w:color="auto" w:fill="auto"/>
            <w:vAlign w:val="center"/>
          </w:tcPr>
          <w:p w14:paraId="73E9DE97" w14:textId="77777777" w:rsidR="009907BA" w:rsidRPr="00803DAB" w:rsidRDefault="009907BA" w:rsidP="00F87A29">
            <w:pPr>
              <w:pStyle w:val="17-tablecontent"/>
              <w:rPr>
                <w:color w:val="auto"/>
                <w:lang w:eastAsia="zh-CN"/>
              </w:rPr>
            </w:pPr>
            <w:r w:rsidRPr="00803DAB">
              <w:rPr>
                <w:color w:val="auto"/>
                <w:lang w:eastAsia="zh-CN"/>
              </w:rPr>
              <w:t>0.88</w:t>
            </w:r>
          </w:p>
        </w:tc>
        <w:tc>
          <w:tcPr>
            <w:tcW w:w="230" w:type="pct"/>
            <w:tcBorders>
              <w:top w:val="nil"/>
              <w:left w:val="nil"/>
              <w:bottom w:val="nil"/>
              <w:right w:val="nil"/>
            </w:tcBorders>
            <w:shd w:val="clear" w:color="auto" w:fill="auto"/>
            <w:vAlign w:val="center"/>
          </w:tcPr>
          <w:p w14:paraId="6E0D3599" w14:textId="77777777" w:rsidR="009907BA" w:rsidRPr="00803DAB" w:rsidRDefault="009907BA" w:rsidP="00F87A29">
            <w:pPr>
              <w:pStyle w:val="17-tablecontent"/>
              <w:rPr>
                <w:color w:val="auto"/>
                <w:lang w:eastAsia="zh-CN"/>
              </w:rPr>
            </w:pPr>
            <w:r w:rsidRPr="00803DAB">
              <w:rPr>
                <w:color w:val="auto"/>
                <w:lang w:eastAsia="zh-CN"/>
              </w:rPr>
              <w:t>0.89</w:t>
            </w:r>
          </w:p>
        </w:tc>
        <w:tc>
          <w:tcPr>
            <w:tcW w:w="230" w:type="pct"/>
            <w:tcBorders>
              <w:top w:val="nil"/>
              <w:left w:val="nil"/>
              <w:bottom w:val="nil"/>
              <w:right w:val="nil"/>
            </w:tcBorders>
            <w:shd w:val="clear" w:color="auto" w:fill="auto"/>
            <w:vAlign w:val="center"/>
          </w:tcPr>
          <w:p w14:paraId="0BCE1A68" w14:textId="77777777" w:rsidR="009907BA" w:rsidRPr="00803DAB" w:rsidRDefault="009907BA" w:rsidP="00F87A29">
            <w:pPr>
              <w:pStyle w:val="17-tablecontent"/>
              <w:rPr>
                <w:color w:val="auto"/>
                <w:lang w:eastAsia="zh-CN"/>
              </w:rPr>
            </w:pPr>
            <w:r w:rsidRPr="00803DAB">
              <w:rPr>
                <w:color w:val="auto"/>
                <w:lang w:eastAsia="zh-CN"/>
              </w:rPr>
              <w:t>0.82</w:t>
            </w:r>
          </w:p>
        </w:tc>
        <w:tc>
          <w:tcPr>
            <w:tcW w:w="230" w:type="pct"/>
            <w:tcBorders>
              <w:top w:val="nil"/>
              <w:left w:val="nil"/>
              <w:bottom w:val="nil"/>
              <w:right w:val="nil"/>
            </w:tcBorders>
            <w:shd w:val="clear" w:color="auto" w:fill="auto"/>
            <w:vAlign w:val="center"/>
          </w:tcPr>
          <w:p w14:paraId="7CD7C9F1" w14:textId="77777777" w:rsidR="009907BA" w:rsidRPr="00803DAB" w:rsidRDefault="009907BA" w:rsidP="00F87A29">
            <w:pPr>
              <w:pStyle w:val="17-tablecontent"/>
              <w:rPr>
                <w:color w:val="auto"/>
                <w:lang w:eastAsia="zh-CN"/>
              </w:rPr>
            </w:pPr>
            <w:r w:rsidRPr="00803DAB">
              <w:rPr>
                <w:color w:val="auto"/>
                <w:lang w:eastAsia="zh-CN"/>
              </w:rPr>
              <w:t>0.99</w:t>
            </w:r>
          </w:p>
        </w:tc>
        <w:tc>
          <w:tcPr>
            <w:tcW w:w="782" w:type="pct"/>
            <w:tcBorders>
              <w:bottom w:val="nil"/>
            </w:tcBorders>
            <w:vAlign w:val="center"/>
          </w:tcPr>
          <w:p w14:paraId="7D6B0B4C" w14:textId="08F28195"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{"citationItems":[{"id":"ITEM-1","itemData":{"DOI":"10.1016/j.engfracmech.2018.10.009","ISSN":"00137944","abstract":"Natural rock joints with infilling materials such as clay, broken rock fragments, or even cement mortar infusion material are common in the field of rock engineering. The fracture behavior of a rock with a filled flaw is related to both the flaw inclination and mechanical properties of the infilling materials. In this study, uniaxial compression experiments were performed for sandstone specimens with different flaw inclinations varying from 0° to 90° and four kinds of infilling conditions, including no filler, gypsum filler, cement filler, and resin filler were considered. The damage process of specimens was revealed and traced by acoustic emission (AE) and digital image correlation (DIC) to comprehensively understand the cracking evolution. Macroscopic cracking information was recorded with a high-resolution camera, and crack patterns were identified and classified. The influence of infilling material and flaw inclination on the sandstone cracking process was studied. The tensile stress was found to be suppressed due to the existence of infilling materials, and different infilling materials have different effects on the crack initiation stress. As a result, specimens with a filled flaw have larger crack initiation stress levels and smaller crack inclination angles than specimens with an unfilled flaw. The effects of infilling materials and flaw inclination angles on crack initiation are analyzed with a theoretical model based on the Coulomb friction law. The compressibility effect of infilling materials on the cracking behavior is also investigated through displacement and strain fields.","author":[{"dropping-particle":"","family":"Miao","given":"Shuting","non-dropping-particle":"","parse-names":false,"suffix":""},{"dropping-particle":"","family":"Pan","given":"Peng Zhi","non-dropping-particle":"","parse-names":false,"suffix":""},{"dropping-particle":"","family":"Wu","given":"Zhenhua","non-dropping-particle":"","parse-names":false,"suffix":""},{"dropping-particle":"","family":"Li","given":"Shaojun","non-dropping-particle":"","parse-names":false,"suffix":""},{"dropping-particle":"","family":"Zhao","given":"Shankun","non-dropping-particle":"","parse-names":false,"suffix":""}],"container-title":"Engineering Fracture Mechanics","id":"ITEM-1","issue":"June","issued":{"date-parts":[["2018"]]},"page":"319-343","title":"Fracture analysis of sandstone with a single filled flaw under uniaxial compression","type":"article-journal","volume":"204"},"uris":["http://www.mendeley.com/documents/?uuid=c378291c-e5c1-4f59-8f78-68498f1bf6f5"]}],"mendeley":{"formattedCitation":"(Miao et al., 2018)","manualFormatting":"Miao et al. (2018","plainTextFormattedCitation":"(Miao et al., 2018)","previouslyFormattedCitation":"(Miao et al. 2018)"},"properties":{"noteIndex":0},"schema":"https://github.com/citation-style-language/schema/raw/master/csl-citation.json"}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Miao et al. (2018</w:t>
            </w:r>
            <w:r w:rsidRPr="00803DAB">
              <w:rPr>
                <w:color w:val="auto"/>
                <w:lang w:eastAsia="zh-CN"/>
              </w:rPr>
              <w:fldChar w:fldCharType="end"/>
            </w:r>
            <w:r w:rsidRPr="00803DAB">
              <w:rPr>
                <w:color w:val="auto"/>
                <w:lang w:eastAsia="zh-CN"/>
              </w:rPr>
              <w:t>)</w:t>
            </w:r>
          </w:p>
        </w:tc>
      </w:tr>
      <w:tr w:rsidR="009907BA" w:rsidRPr="00803DAB" w14:paraId="1AD5F6DF" w14:textId="77777777" w:rsidTr="00F87A29">
        <w:tc>
          <w:tcPr>
            <w:tcW w:w="584" w:type="pct"/>
            <w:tcBorders>
              <w:top w:val="nil"/>
              <w:bottom w:val="nil"/>
            </w:tcBorders>
            <w:vAlign w:val="center"/>
          </w:tcPr>
          <w:p w14:paraId="46889B73" w14:textId="77777777" w:rsidR="009907BA" w:rsidRPr="00803DAB" w:rsidRDefault="009907BA" w:rsidP="00F87A29">
            <w:pPr>
              <w:pStyle w:val="17-tablecontent"/>
              <w:rPr>
                <w:color w:val="auto"/>
                <w:lang w:eastAsia="zh-CN"/>
              </w:rPr>
            </w:pPr>
            <w:r w:rsidRPr="00803DAB">
              <w:rPr>
                <w:color w:val="auto"/>
                <w:lang w:eastAsia="zh-CN"/>
              </w:rPr>
              <w:t>Sandstone</w:t>
            </w:r>
          </w:p>
        </w:tc>
        <w:tc>
          <w:tcPr>
            <w:tcW w:w="339" w:type="pct"/>
            <w:tcBorders>
              <w:top w:val="nil"/>
              <w:bottom w:val="nil"/>
            </w:tcBorders>
            <w:vAlign w:val="center"/>
          </w:tcPr>
          <w:p w14:paraId="01C0558F" w14:textId="77777777" w:rsidR="009907BA" w:rsidRPr="00803DAB" w:rsidRDefault="009907BA" w:rsidP="00F87A29">
            <w:pPr>
              <w:pStyle w:val="17-tablecontent"/>
              <w:rPr>
                <w:color w:val="auto"/>
                <w:lang w:eastAsia="zh-CN"/>
              </w:rPr>
            </w:pPr>
            <w:r w:rsidRPr="00803DAB">
              <w:rPr>
                <w:color w:val="auto"/>
                <w:lang w:eastAsia="zh-CN"/>
              </w:rPr>
              <w:t>~50</w:t>
            </w:r>
          </w:p>
        </w:tc>
        <w:tc>
          <w:tcPr>
            <w:tcW w:w="230" w:type="pct"/>
            <w:tcBorders>
              <w:top w:val="nil"/>
              <w:bottom w:val="nil"/>
            </w:tcBorders>
            <w:vAlign w:val="center"/>
          </w:tcPr>
          <w:p w14:paraId="4A9F0D11" w14:textId="77777777" w:rsidR="009907BA" w:rsidRPr="00803DAB" w:rsidRDefault="009907BA" w:rsidP="00F87A29">
            <w:pPr>
              <w:pStyle w:val="17-tablecontent"/>
              <w:rPr>
                <w:color w:val="auto"/>
                <w:lang w:eastAsia="zh-CN"/>
              </w:rPr>
            </w:pPr>
            <w:r w:rsidRPr="00803DAB">
              <w:rPr>
                <w:color w:val="auto"/>
                <w:lang w:eastAsia="zh-CN"/>
              </w:rPr>
              <w:t>78</w:t>
            </w:r>
          </w:p>
        </w:tc>
        <w:tc>
          <w:tcPr>
            <w:tcW w:w="266" w:type="pct"/>
            <w:tcBorders>
              <w:top w:val="nil"/>
              <w:bottom w:val="nil"/>
            </w:tcBorders>
            <w:vAlign w:val="center"/>
          </w:tcPr>
          <w:p w14:paraId="52C50EE8" w14:textId="77777777" w:rsidR="009907BA" w:rsidRPr="00803DAB" w:rsidRDefault="009907BA" w:rsidP="00F87A29">
            <w:pPr>
              <w:pStyle w:val="17-tablecontent"/>
              <w:rPr>
                <w:color w:val="auto"/>
                <w:lang w:eastAsia="zh-CN"/>
              </w:rPr>
            </w:pPr>
            <w:r w:rsidRPr="00803DAB">
              <w:rPr>
                <w:color w:val="auto"/>
                <w:lang w:eastAsia="zh-CN"/>
              </w:rPr>
              <w:t>46</w:t>
            </w:r>
          </w:p>
        </w:tc>
        <w:tc>
          <w:tcPr>
            <w:tcW w:w="266" w:type="pct"/>
            <w:tcBorders>
              <w:top w:val="nil"/>
              <w:bottom w:val="nil"/>
            </w:tcBorders>
            <w:vAlign w:val="center"/>
          </w:tcPr>
          <w:p w14:paraId="6CD9C0EE" w14:textId="77777777" w:rsidR="009907BA" w:rsidRPr="00803DAB" w:rsidRDefault="009907BA" w:rsidP="00F87A29">
            <w:pPr>
              <w:pStyle w:val="17-tablecontent"/>
              <w:rPr>
                <w:color w:val="auto"/>
                <w:lang w:eastAsia="zh-CN"/>
              </w:rPr>
            </w:pPr>
            <w:r w:rsidRPr="00803DAB">
              <w:rPr>
                <w:color w:val="auto"/>
                <w:lang w:eastAsia="zh-CN"/>
              </w:rPr>
              <w:t>71</w:t>
            </w:r>
          </w:p>
        </w:tc>
        <w:tc>
          <w:tcPr>
            <w:tcW w:w="230" w:type="pct"/>
            <w:tcBorders>
              <w:top w:val="nil"/>
              <w:bottom w:val="nil"/>
            </w:tcBorders>
            <w:vAlign w:val="center"/>
          </w:tcPr>
          <w:p w14:paraId="78CB64D1" w14:textId="77777777" w:rsidR="009907BA" w:rsidRPr="00803DAB" w:rsidRDefault="009907BA" w:rsidP="00F87A29">
            <w:pPr>
              <w:pStyle w:val="17-tablecontent"/>
              <w:rPr>
                <w:color w:val="auto"/>
                <w:lang w:eastAsia="zh-CN"/>
              </w:rPr>
            </w:pPr>
            <w:r w:rsidRPr="00803DAB">
              <w:rPr>
                <w:color w:val="auto"/>
                <w:lang w:eastAsia="zh-CN"/>
              </w:rPr>
              <w:t>50</w:t>
            </w:r>
          </w:p>
        </w:tc>
        <w:tc>
          <w:tcPr>
            <w:tcW w:w="230" w:type="pct"/>
            <w:tcBorders>
              <w:top w:val="nil"/>
              <w:bottom w:val="nil"/>
            </w:tcBorders>
            <w:vAlign w:val="center"/>
          </w:tcPr>
          <w:p w14:paraId="2DE79798"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28AF6AD3" w14:textId="77777777" w:rsidR="009907BA" w:rsidRPr="00803DAB" w:rsidRDefault="009907BA" w:rsidP="00F87A29">
            <w:pPr>
              <w:pStyle w:val="17-tablecontent"/>
              <w:rPr>
                <w:color w:val="auto"/>
                <w:lang w:eastAsia="zh-CN"/>
              </w:rPr>
            </w:pPr>
            <w:r w:rsidRPr="00803DAB">
              <w:rPr>
                <w:color w:val="auto"/>
                <w:lang w:eastAsia="zh-CN"/>
              </w:rPr>
              <w:t>27</w:t>
            </w:r>
          </w:p>
        </w:tc>
        <w:tc>
          <w:tcPr>
            <w:tcW w:w="230" w:type="pct"/>
            <w:tcBorders>
              <w:top w:val="nil"/>
              <w:bottom w:val="nil"/>
            </w:tcBorders>
            <w:vAlign w:val="center"/>
          </w:tcPr>
          <w:p w14:paraId="6CA1FADD"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1D21E4CD" w14:textId="77777777" w:rsidR="009907BA" w:rsidRPr="00803DAB" w:rsidRDefault="009907BA" w:rsidP="00F87A29">
            <w:pPr>
              <w:pStyle w:val="17-tablecontent"/>
              <w:rPr>
                <w:color w:val="auto"/>
                <w:lang w:eastAsia="zh-CN"/>
              </w:rPr>
            </w:pPr>
            <w:r w:rsidRPr="00803DAB">
              <w:rPr>
                <w:color w:val="auto"/>
                <w:lang w:eastAsia="zh-CN"/>
              </w:rPr>
              <w:t>0.74</w:t>
            </w:r>
          </w:p>
        </w:tc>
        <w:tc>
          <w:tcPr>
            <w:tcW w:w="230" w:type="pct"/>
            <w:tcBorders>
              <w:top w:val="nil"/>
              <w:left w:val="nil"/>
              <w:bottom w:val="nil"/>
              <w:right w:val="nil"/>
            </w:tcBorders>
            <w:shd w:val="clear" w:color="auto" w:fill="auto"/>
            <w:vAlign w:val="center"/>
          </w:tcPr>
          <w:p w14:paraId="38535155" w14:textId="77777777" w:rsidR="009907BA" w:rsidRPr="00803DAB" w:rsidRDefault="009907BA" w:rsidP="00F87A29">
            <w:pPr>
              <w:pStyle w:val="17-tablecontent"/>
              <w:rPr>
                <w:color w:val="auto"/>
                <w:lang w:eastAsia="zh-CN"/>
              </w:rPr>
            </w:pPr>
            <w:r w:rsidRPr="00803DAB">
              <w:rPr>
                <w:color w:val="auto"/>
                <w:lang w:eastAsia="zh-CN"/>
              </w:rPr>
              <w:t>0.93</w:t>
            </w:r>
          </w:p>
        </w:tc>
        <w:tc>
          <w:tcPr>
            <w:tcW w:w="230" w:type="pct"/>
            <w:tcBorders>
              <w:top w:val="nil"/>
              <w:left w:val="nil"/>
              <w:bottom w:val="nil"/>
              <w:right w:val="nil"/>
            </w:tcBorders>
            <w:shd w:val="clear" w:color="auto" w:fill="auto"/>
            <w:vAlign w:val="center"/>
          </w:tcPr>
          <w:p w14:paraId="6F6400F1" w14:textId="77777777" w:rsidR="009907BA" w:rsidRPr="00803DAB" w:rsidRDefault="009907BA" w:rsidP="00F87A29">
            <w:pPr>
              <w:pStyle w:val="17-tablecontent"/>
              <w:rPr>
                <w:color w:val="auto"/>
                <w:lang w:eastAsia="zh-CN"/>
              </w:rPr>
            </w:pPr>
            <w:r w:rsidRPr="00803DAB">
              <w:rPr>
                <w:color w:val="auto"/>
                <w:lang w:eastAsia="zh-CN"/>
              </w:rPr>
              <w:t>0.69</w:t>
            </w:r>
          </w:p>
        </w:tc>
        <w:tc>
          <w:tcPr>
            <w:tcW w:w="230" w:type="pct"/>
            <w:tcBorders>
              <w:top w:val="nil"/>
              <w:left w:val="nil"/>
              <w:bottom w:val="nil"/>
              <w:right w:val="nil"/>
            </w:tcBorders>
            <w:shd w:val="clear" w:color="auto" w:fill="auto"/>
            <w:vAlign w:val="center"/>
          </w:tcPr>
          <w:p w14:paraId="6A85204C" w14:textId="77777777" w:rsidR="009907BA" w:rsidRPr="00803DAB" w:rsidRDefault="009907BA" w:rsidP="00F87A29">
            <w:pPr>
              <w:pStyle w:val="17-tablecontent"/>
              <w:rPr>
                <w:color w:val="auto"/>
                <w:lang w:eastAsia="zh-CN"/>
              </w:rPr>
            </w:pPr>
            <w:r w:rsidRPr="00803DAB">
              <w:rPr>
                <w:color w:val="auto"/>
                <w:lang w:eastAsia="zh-CN"/>
              </w:rPr>
              <w:t>0.75</w:t>
            </w:r>
          </w:p>
        </w:tc>
        <w:tc>
          <w:tcPr>
            <w:tcW w:w="230" w:type="pct"/>
            <w:tcBorders>
              <w:top w:val="nil"/>
              <w:left w:val="nil"/>
              <w:bottom w:val="nil"/>
              <w:right w:val="nil"/>
            </w:tcBorders>
            <w:shd w:val="clear" w:color="auto" w:fill="auto"/>
            <w:vAlign w:val="center"/>
          </w:tcPr>
          <w:p w14:paraId="10350277" w14:textId="77777777" w:rsidR="009907BA" w:rsidRPr="00803DAB" w:rsidRDefault="009907BA" w:rsidP="00F87A29">
            <w:pPr>
              <w:pStyle w:val="17-tablecontent"/>
              <w:rPr>
                <w:color w:val="auto"/>
                <w:lang w:eastAsia="zh-CN"/>
              </w:rPr>
            </w:pPr>
            <w:r w:rsidRPr="00803DAB">
              <w:rPr>
                <w:color w:val="auto"/>
                <w:lang w:eastAsia="zh-CN"/>
              </w:rPr>
              <w:t>0.96</w:t>
            </w:r>
          </w:p>
        </w:tc>
        <w:tc>
          <w:tcPr>
            <w:tcW w:w="230" w:type="pct"/>
            <w:tcBorders>
              <w:top w:val="nil"/>
              <w:left w:val="nil"/>
              <w:bottom w:val="nil"/>
              <w:right w:val="nil"/>
            </w:tcBorders>
            <w:shd w:val="clear" w:color="auto" w:fill="auto"/>
            <w:vAlign w:val="center"/>
          </w:tcPr>
          <w:p w14:paraId="5CAC5690" w14:textId="77777777" w:rsidR="009907BA" w:rsidRPr="00803DAB" w:rsidRDefault="009907BA" w:rsidP="00F87A29">
            <w:pPr>
              <w:pStyle w:val="17-tablecontent"/>
              <w:rPr>
                <w:color w:val="auto"/>
                <w:lang w:eastAsia="zh-CN"/>
              </w:rPr>
            </w:pPr>
            <w:r w:rsidRPr="00803DAB">
              <w:rPr>
                <w:color w:val="auto"/>
                <w:lang w:eastAsia="zh-CN"/>
              </w:rPr>
              <w:t>0.97</w:t>
            </w:r>
          </w:p>
        </w:tc>
        <w:tc>
          <w:tcPr>
            <w:tcW w:w="230" w:type="pct"/>
            <w:tcBorders>
              <w:top w:val="nil"/>
              <w:left w:val="nil"/>
              <w:bottom w:val="nil"/>
              <w:right w:val="nil"/>
            </w:tcBorders>
            <w:shd w:val="clear" w:color="auto" w:fill="auto"/>
            <w:vAlign w:val="center"/>
          </w:tcPr>
          <w:p w14:paraId="5A81A927" w14:textId="77777777" w:rsidR="009907BA" w:rsidRPr="00803DAB" w:rsidRDefault="009907BA" w:rsidP="00F87A29">
            <w:pPr>
              <w:pStyle w:val="17-tablecontent"/>
              <w:rPr>
                <w:color w:val="auto"/>
                <w:lang w:eastAsia="zh-CN"/>
              </w:rPr>
            </w:pPr>
            <w:r w:rsidRPr="00803DAB">
              <w:rPr>
                <w:color w:val="auto"/>
                <w:lang w:eastAsia="zh-CN"/>
              </w:rPr>
              <w:t>0.97</w:t>
            </w:r>
          </w:p>
        </w:tc>
        <w:tc>
          <w:tcPr>
            <w:tcW w:w="782" w:type="pct"/>
            <w:tcBorders>
              <w:top w:val="nil"/>
              <w:bottom w:val="nil"/>
            </w:tcBorders>
            <w:vAlign w:val="center"/>
          </w:tcPr>
          <w:p w14:paraId="3B432B03" w14:textId="3C112394"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{"citationItems":[{"id":"ITEM-1","itemData":{"DOI":"10.1016/j.engfracmech.2018.10.009","ISSN":"00137944","abstract":"Natural rock joints with infilling materials such as clay, broken rock fragments, or even cement mortar infusion material are common in the field of rock engineering. The fracture behavior of a rock with a filled flaw is related to both the flaw inclination and mechanical properties of the infilling materials. In this study, uniaxial compression experiments were performed for sandstone specimens with different flaw inclinations varying from 0° to 90° and four kinds of infilling conditions, including no filler, gypsum filler, cement filler, and resin filler were considered. The damage process of specimens was revealed and traced by acoustic emission (AE) and digital image correlation (DIC) to comprehensively understand the cracking evolution. Macroscopic cracking information was recorded with a high-resolution camera, and crack patterns were identified and classified. The influence of infilling material and flaw inclination on the sandstone cracking process was studied. The tensile stress was found to be suppressed due to the existence of infilling materials, and different infilling materials have different effects on the crack initiation stress. As a result, specimens with a filled flaw have larger crack initiation stress levels and smaller crack inclination angles than specimens with an unfilled flaw. The effects of infilling materials and flaw inclination angles on crack initiation are analyzed with a theoretical model based on the Coulomb friction law. The compressibility effect of infilling materials on the cracking behavior is also investigated through displacement and strain fields.","author":[{"dropping-particle":"","family":"Miao","given":"Shuting","non-dropping-particle":"","parse-names":false,"suffix":""},{"dropping-particle":"","family":"Pan","given":"Peng Zhi","non-dropping-particle":"","parse-names":false,"suffix":""},{"dropping-particle":"","family":"Wu","given":"Zhenhua","non-dropping-particle":"","parse-names":false,"suffix":""},{"dropping-particle":"","family":"Li","given":"Shaojun","non-dropping-particle":"","parse-names":false,"suffix":""},{"dropping-particle":"","family":"Zhao","given":"Shankun","non-dropping-particle":"","parse-names":false,"suffix":""}],"container-title":"Engineering Fracture Mechanics","id":"ITEM-1","issue":"June","issued":{"date-parts":[["2018"]]},"page":"319-343","title":"Fracture analysis of sandstone with a single filled flaw under uniaxial compression","type":"article-journal","volume":"204"},"uris":["http://www.mendeley.com/documents/?uuid=c378291c-e5c1-4f59-8f78-68498f1bf6f5"]}],"mendeley":{"formattedCitation":"(Miao et al., 2018)","manualFormatting":"Miao et al. (2018","plainTextFormattedCitation":"(Miao et al., 2018)","previouslyFormattedCitation":"(Miao et al. 2018)"},"properties":{"noteIndex":0},"schema":"https://github.com/citation-style-language/schema/raw/master/csl-citation.json"}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Miao et al. (2018</w:t>
            </w:r>
            <w:r w:rsidRPr="00803DAB">
              <w:rPr>
                <w:color w:val="auto"/>
                <w:lang w:eastAsia="zh-CN"/>
              </w:rPr>
              <w:fldChar w:fldCharType="end"/>
            </w:r>
            <w:r w:rsidRPr="00803DAB">
              <w:rPr>
                <w:color w:val="auto"/>
                <w:lang w:eastAsia="zh-CN"/>
              </w:rPr>
              <w:t>)</w:t>
            </w:r>
          </w:p>
        </w:tc>
      </w:tr>
      <w:tr w:rsidR="009907BA" w:rsidRPr="00803DAB" w14:paraId="1B652766" w14:textId="77777777" w:rsidTr="00F87A29">
        <w:tc>
          <w:tcPr>
            <w:tcW w:w="584" w:type="pct"/>
            <w:tcBorders>
              <w:top w:val="nil"/>
              <w:bottom w:val="nil"/>
            </w:tcBorders>
            <w:vAlign w:val="center"/>
          </w:tcPr>
          <w:p w14:paraId="1D6C8841" w14:textId="77777777" w:rsidR="009907BA" w:rsidRPr="00803DAB" w:rsidRDefault="009907BA" w:rsidP="00F87A29">
            <w:pPr>
              <w:pStyle w:val="17-tablecontent"/>
              <w:rPr>
                <w:color w:val="auto"/>
                <w:lang w:eastAsia="zh-CN"/>
              </w:rPr>
            </w:pPr>
            <w:r w:rsidRPr="00803DAB">
              <w:rPr>
                <w:color w:val="auto"/>
                <w:lang w:eastAsia="zh-CN"/>
              </w:rPr>
              <w:t>Sandstone</w:t>
            </w:r>
          </w:p>
        </w:tc>
        <w:tc>
          <w:tcPr>
            <w:tcW w:w="339" w:type="pct"/>
            <w:tcBorders>
              <w:top w:val="nil"/>
              <w:bottom w:val="nil"/>
            </w:tcBorders>
            <w:vAlign w:val="center"/>
          </w:tcPr>
          <w:p w14:paraId="67B3E4C7" w14:textId="77777777" w:rsidR="009907BA" w:rsidRPr="00803DAB" w:rsidRDefault="009907BA" w:rsidP="00F87A29">
            <w:pPr>
              <w:pStyle w:val="17-tablecontent"/>
              <w:rPr>
                <w:color w:val="auto"/>
                <w:lang w:eastAsia="zh-CN"/>
              </w:rPr>
            </w:pPr>
            <w:r w:rsidRPr="00803DAB">
              <w:rPr>
                <w:color w:val="auto"/>
                <w:lang w:eastAsia="zh-CN"/>
              </w:rPr>
              <w:t>~50</w:t>
            </w:r>
          </w:p>
        </w:tc>
        <w:tc>
          <w:tcPr>
            <w:tcW w:w="230" w:type="pct"/>
            <w:tcBorders>
              <w:top w:val="nil"/>
              <w:bottom w:val="nil"/>
            </w:tcBorders>
            <w:vAlign w:val="center"/>
          </w:tcPr>
          <w:p w14:paraId="7B5C84D9" w14:textId="77777777" w:rsidR="009907BA" w:rsidRPr="00803DAB" w:rsidRDefault="009907BA" w:rsidP="00F87A29">
            <w:pPr>
              <w:pStyle w:val="17-tablecontent"/>
              <w:rPr>
                <w:color w:val="auto"/>
                <w:lang w:eastAsia="zh-CN"/>
              </w:rPr>
            </w:pPr>
            <w:r w:rsidRPr="00803DAB">
              <w:rPr>
                <w:color w:val="auto"/>
                <w:lang w:eastAsia="zh-CN"/>
              </w:rPr>
              <w:t>77</w:t>
            </w:r>
          </w:p>
        </w:tc>
        <w:tc>
          <w:tcPr>
            <w:tcW w:w="266" w:type="pct"/>
            <w:tcBorders>
              <w:top w:val="nil"/>
              <w:bottom w:val="nil"/>
            </w:tcBorders>
            <w:vAlign w:val="center"/>
          </w:tcPr>
          <w:p w14:paraId="276181E1" w14:textId="77777777" w:rsidR="009907BA" w:rsidRPr="00803DAB" w:rsidRDefault="009907BA" w:rsidP="00F87A29">
            <w:pPr>
              <w:pStyle w:val="17-tablecontent"/>
              <w:rPr>
                <w:color w:val="auto"/>
                <w:lang w:eastAsia="zh-CN"/>
              </w:rPr>
            </w:pPr>
            <w:r w:rsidRPr="00803DAB">
              <w:rPr>
                <w:color w:val="auto"/>
                <w:lang w:eastAsia="zh-CN"/>
              </w:rPr>
              <w:t>85</w:t>
            </w:r>
          </w:p>
        </w:tc>
        <w:tc>
          <w:tcPr>
            <w:tcW w:w="266" w:type="pct"/>
            <w:tcBorders>
              <w:top w:val="nil"/>
              <w:bottom w:val="nil"/>
            </w:tcBorders>
            <w:vAlign w:val="center"/>
          </w:tcPr>
          <w:p w14:paraId="62C050C1"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06E6E8EA" w14:textId="77777777" w:rsidR="009907BA" w:rsidRPr="00803DAB" w:rsidRDefault="009907BA" w:rsidP="00F87A29">
            <w:pPr>
              <w:pStyle w:val="17-tablecontent"/>
              <w:rPr>
                <w:color w:val="auto"/>
                <w:lang w:eastAsia="zh-CN"/>
              </w:rPr>
            </w:pPr>
            <w:r w:rsidRPr="00803DAB">
              <w:rPr>
                <w:color w:val="auto"/>
                <w:lang w:eastAsia="zh-CN"/>
              </w:rPr>
              <w:t>30</w:t>
            </w:r>
          </w:p>
        </w:tc>
        <w:tc>
          <w:tcPr>
            <w:tcW w:w="230" w:type="pct"/>
            <w:tcBorders>
              <w:top w:val="nil"/>
              <w:bottom w:val="nil"/>
            </w:tcBorders>
            <w:vAlign w:val="center"/>
          </w:tcPr>
          <w:p w14:paraId="63820297"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0DAA53CB"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5A5D4CAA"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4852FF42" w14:textId="77777777" w:rsidR="009907BA" w:rsidRPr="00803DAB" w:rsidRDefault="009907BA" w:rsidP="00F87A29">
            <w:pPr>
              <w:pStyle w:val="17-tablecontent"/>
              <w:rPr>
                <w:color w:val="auto"/>
                <w:lang w:eastAsia="zh-CN"/>
              </w:rPr>
            </w:pPr>
            <w:r w:rsidRPr="00803DAB">
              <w:rPr>
                <w:color w:val="auto"/>
                <w:lang w:eastAsia="zh-CN"/>
              </w:rPr>
              <w:t>0.79</w:t>
            </w:r>
          </w:p>
        </w:tc>
        <w:tc>
          <w:tcPr>
            <w:tcW w:w="230" w:type="pct"/>
            <w:tcBorders>
              <w:top w:val="nil"/>
              <w:left w:val="nil"/>
              <w:bottom w:val="nil"/>
              <w:right w:val="nil"/>
            </w:tcBorders>
            <w:shd w:val="clear" w:color="auto" w:fill="auto"/>
            <w:vAlign w:val="center"/>
          </w:tcPr>
          <w:p w14:paraId="3317573A" w14:textId="77777777" w:rsidR="009907BA" w:rsidRPr="00803DAB" w:rsidRDefault="009907BA" w:rsidP="00F87A29">
            <w:pPr>
              <w:pStyle w:val="17-tablecontent"/>
              <w:rPr>
                <w:color w:val="auto"/>
                <w:lang w:eastAsia="zh-CN"/>
              </w:rPr>
            </w:pPr>
            <w:r w:rsidRPr="00803DAB">
              <w:rPr>
                <w:color w:val="auto"/>
                <w:lang w:eastAsia="zh-CN"/>
              </w:rPr>
              <w:t>0.91</w:t>
            </w:r>
          </w:p>
        </w:tc>
        <w:tc>
          <w:tcPr>
            <w:tcW w:w="230" w:type="pct"/>
            <w:tcBorders>
              <w:top w:val="nil"/>
              <w:left w:val="nil"/>
              <w:bottom w:val="nil"/>
              <w:right w:val="nil"/>
            </w:tcBorders>
            <w:shd w:val="clear" w:color="auto" w:fill="auto"/>
            <w:vAlign w:val="center"/>
          </w:tcPr>
          <w:p w14:paraId="217A1427" w14:textId="77777777" w:rsidR="009907BA" w:rsidRPr="00803DAB" w:rsidRDefault="009907BA" w:rsidP="00F87A29">
            <w:pPr>
              <w:pStyle w:val="17-tablecontent"/>
              <w:rPr>
                <w:color w:val="auto"/>
                <w:lang w:eastAsia="zh-CN"/>
              </w:rPr>
            </w:pPr>
            <w:r w:rsidRPr="00803DAB">
              <w:rPr>
                <w:color w:val="auto"/>
                <w:lang w:eastAsia="zh-CN"/>
              </w:rPr>
              <w:t>0.89</w:t>
            </w:r>
          </w:p>
        </w:tc>
        <w:tc>
          <w:tcPr>
            <w:tcW w:w="230" w:type="pct"/>
            <w:tcBorders>
              <w:top w:val="nil"/>
              <w:left w:val="nil"/>
              <w:bottom w:val="nil"/>
              <w:right w:val="nil"/>
            </w:tcBorders>
            <w:shd w:val="clear" w:color="auto" w:fill="auto"/>
            <w:vAlign w:val="center"/>
          </w:tcPr>
          <w:p w14:paraId="6363EBF7" w14:textId="77777777" w:rsidR="009907BA" w:rsidRPr="00803DAB" w:rsidRDefault="009907BA" w:rsidP="00F87A29">
            <w:pPr>
              <w:pStyle w:val="17-tablecontent"/>
              <w:rPr>
                <w:color w:val="auto"/>
                <w:lang w:eastAsia="zh-CN"/>
              </w:rPr>
            </w:pPr>
            <w:r w:rsidRPr="00803DAB">
              <w:rPr>
                <w:color w:val="auto"/>
                <w:lang w:eastAsia="zh-CN"/>
              </w:rPr>
              <w:t>0.51</w:t>
            </w:r>
          </w:p>
        </w:tc>
        <w:tc>
          <w:tcPr>
            <w:tcW w:w="230" w:type="pct"/>
            <w:tcBorders>
              <w:top w:val="nil"/>
              <w:left w:val="nil"/>
              <w:bottom w:val="nil"/>
              <w:right w:val="nil"/>
            </w:tcBorders>
            <w:shd w:val="clear" w:color="auto" w:fill="auto"/>
            <w:vAlign w:val="center"/>
          </w:tcPr>
          <w:p w14:paraId="0B604DBB" w14:textId="77777777" w:rsidR="009907BA" w:rsidRPr="00803DAB" w:rsidRDefault="009907BA" w:rsidP="00F87A29">
            <w:pPr>
              <w:pStyle w:val="17-tablecontent"/>
              <w:rPr>
                <w:color w:val="auto"/>
                <w:lang w:eastAsia="zh-CN"/>
              </w:rPr>
            </w:pPr>
            <w:r w:rsidRPr="00803DAB">
              <w:rPr>
                <w:color w:val="auto"/>
                <w:lang w:eastAsia="zh-CN"/>
              </w:rPr>
              <w:t>0.46</w:t>
            </w:r>
          </w:p>
        </w:tc>
        <w:tc>
          <w:tcPr>
            <w:tcW w:w="230" w:type="pct"/>
            <w:tcBorders>
              <w:top w:val="nil"/>
              <w:left w:val="nil"/>
              <w:bottom w:val="nil"/>
              <w:right w:val="nil"/>
            </w:tcBorders>
            <w:shd w:val="clear" w:color="auto" w:fill="auto"/>
            <w:vAlign w:val="center"/>
          </w:tcPr>
          <w:p w14:paraId="0892C119" w14:textId="77777777" w:rsidR="009907BA" w:rsidRPr="00803DAB" w:rsidRDefault="009907BA" w:rsidP="00F87A29">
            <w:pPr>
              <w:pStyle w:val="17-tablecontent"/>
              <w:rPr>
                <w:color w:val="auto"/>
                <w:lang w:eastAsia="zh-CN"/>
              </w:rPr>
            </w:pPr>
            <w:r w:rsidRPr="00803DAB">
              <w:rPr>
                <w:color w:val="auto"/>
                <w:lang w:eastAsia="zh-CN"/>
              </w:rPr>
              <w:t>0.73</w:t>
            </w:r>
          </w:p>
        </w:tc>
        <w:tc>
          <w:tcPr>
            <w:tcW w:w="230" w:type="pct"/>
            <w:tcBorders>
              <w:top w:val="nil"/>
              <w:left w:val="nil"/>
              <w:bottom w:val="nil"/>
              <w:right w:val="nil"/>
            </w:tcBorders>
            <w:shd w:val="clear" w:color="auto" w:fill="auto"/>
            <w:vAlign w:val="center"/>
          </w:tcPr>
          <w:p w14:paraId="01069E79" w14:textId="77777777" w:rsidR="009907BA" w:rsidRPr="00803DAB" w:rsidRDefault="009907BA" w:rsidP="00F87A29">
            <w:pPr>
              <w:pStyle w:val="17-tablecontent"/>
              <w:rPr>
                <w:color w:val="auto"/>
                <w:lang w:eastAsia="zh-CN"/>
              </w:rPr>
            </w:pPr>
            <w:r w:rsidRPr="00803DAB">
              <w:rPr>
                <w:color w:val="auto"/>
                <w:lang w:eastAsia="zh-CN"/>
              </w:rPr>
              <w:t>0.38</w:t>
            </w:r>
          </w:p>
        </w:tc>
        <w:tc>
          <w:tcPr>
            <w:tcW w:w="782" w:type="pct"/>
            <w:tcBorders>
              <w:top w:val="nil"/>
              <w:bottom w:val="nil"/>
            </w:tcBorders>
            <w:vAlign w:val="center"/>
          </w:tcPr>
          <w:p w14:paraId="75FA38E2" w14:textId="14CC5FF5"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{"citationItems":[{"id":"ITEM-1","itemData":{"DOI":"10.1016/j.engfracmech.2018.10.009","ISSN":"00137944","abstract":"Natural rock joints with infilling materials such as clay, broken rock fragments, or even cement mortar infusion material are common in the field of rock engineering. The fracture behavior of a rock with a filled flaw is related to both the flaw inclination and mechanical properties of the infilling materials. In this study, uniaxial compression experiments were performed for sandstone specimens with different flaw inclinations varying from 0° to 90° and four kinds of infilling conditions, including no filler, gypsum filler, cement filler, and resin filler were considered. The damage process of specimens was revealed and traced by acoustic emission (AE) and digital image correlation (DIC) to comprehensively understand the cracking evolution. Macroscopic cracking information was recorded with a high-resolution camera, and crack patterns were identified and classified. The influence of infilling material and flaw inclination on the sandstone cracking process was studied. The tensile stress was found to be suppressed due to the existence of infilling materials, and different infilling materials have different effects on the crack initiation stress. As a result, specimens with a filled flaw have larger crack initiation stress levels and smaller crack inclination angles than specimens with an unfilled flaw. The effects of infilling materials and flaw inclination angles on crack initiation are analyzed with a theoretical model based on the Coulomb friction law. The compressibility effect of infilling materials on the cracking behavior is also investigated through displacement and strain fields.","author":[{"dropping-particle":"","family":"Miao","given":"Shuting","non-dropping-particle":"","parse-names":false,"suffix":""},{"dropping-particle":"","family":"Pan","given":"Peng Zhi","non-dropping-particle":"","parse-names":false,"suffix":""},{"dropping-particle":"","family":"Wu","given":"Zhenhua","non-dropping-particle":"","parse-names":false,"suffix":""},{"dropping-particle":"","family":"Li","given":"Shaojun","non-dropping-particle":"","parse-names":false,"suffix":""},{"dropping-particle":"","family":"Zhao","given":"Shankun","non-dropping-particle":"","parse-names":false,"suffix":""}],"container-title":"Engineering Fracture Mechanics","id":"ITEM-1","issue":"June","issued":{"date-parts":[["2018"]]},"page":"319-343","title":"Fracture analysis of sandstone with a single filled flaw under uniaxial compression","type":"article-journal","volume":"204"},"uris":["http://www.mendeley.com/documents/?uuid=c378291c-e5c1-4f59-8f78-68498f1bf6f5"]}],"mendeley":{"formattedCitation":"(Miao et al., 2018)","manualFormatting":"Miao et al. (2018","plainTextFormattedCitation":"(Miao et al., 2018)","previouslyFormattedCitation":"(Miao et al. 2018)"},"properties":{"noteIndex":0},"schema":"https://github.com/citation-style-language/schema/raw/master/csl-citation.json"}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Miao et al. (2018</w:t>
            </w:r>
            <w:r w:rsidRPr="00803DAB">
              <w:rPr>
                <w:color w:val="auto"/>
                <w:lang w:eastAsia="zh-CN"/>
              </w:rPr>
              <w:fldChar w:fldCharType="end"/>
            </w:r>
            <w:r w:rsidRPr="00803DAB">
              <w:rPr>
                <w:color w:val="auto"/>
                <w:lang w:eastAsia="zh-CN"/>
              </w:rPr>
              <w:t>)</w:t>
            </w:r>
          </w:p>
        </w:tc>
      </w:tr>
      <w:tr w:rsidR="009907BA" w:rsidRPr="00803DAB" w14:paraId="56E0E553" w14:textId="77777777" w:rsidTr="00F87A29">
        <w:tc>
          <w:tcPr>
            <w:tcW w:w="584" w:type="pct"/>
            <w:tcBorders>
              <w:top w:val="nil"/>
              <w:bottom w:val="nil"/>
            </w:tcBorders>
            <w:vAlign w:val="center"/>
          </w:tcPr>
          <w:p w14:paraId="12A52549" w14:textId="77777777" w:rsidR="009907BA" w:rsidRPr="00803DAB" w:rsidRDefault="009907BA" w:rsidP="00F87A29">
            <w:pPr>
              <w:pStyle w:val="17-tablecontent"/>
              <w:rPr>
                <w:color w:val="auto"/>
                <w:lang w:eastAsia="zh-CN"/>
              </w:rPr>
            </w:pPr>
            <w:r w:rsidRPr="00803DAB">
              <w:rPr>
                <w:color w:val="auto"/>
                <w:lang w:eastAsia="zh-CN"/>
              </w:rPr>
              <w:t>Gypsum</w:t>
            </w:r>
          </w:p>
        </w:tc>
        <w:tc>
          <w:tcPr>
            <w:tcW w:w="339" w:type="pct"/>
            <w:tcBorders>
              <w:top w:val="nil"/>
              <w:bottom w:val="nil"/>
            </w:tcBorders>
            <w:vAlign w:val="center"/>
          </w:tcPr>
          <w:p w14:paraId="649421F5"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21E795F0" w14:textId="77777777" w:rsidR="009907BA" w:rsidRPr="00803DAB" w:rsidRDefault="009907BA" w:rsidP="00F87A29">
            <w:pPr>
              <w:pStyle w:val="17-tablecontent"/>
              <w:rPr>
                <w:color w:val="auto"/>
                <w:lang w:eastAsia="zh-CN"/>
              </w:rPr>
            </w:pPr>
            <w:r w:rsidRPr="00803DAB">
              <w:rPr>
                <w:color w:val="auto"/>
                <w:lang w:eastAsia="zh-CN"/>
              </w:rPr>
              <w:t>95</w:t>
            </w:r>
          </w:p>
        </w:tc>
        <w:tc>
          <w:tcPr>
            <w:tcW w:w="266" w:type="pct"/>
            <w:tcBorders>
              <w:top w:val="nil"/>
              <w:bottom w:val="nil"/>
            </w:tcBorders>
            <w:vAlign w:val="center"/>
          </w:tcPr>
          <w:p w14:paraId="4C6FDB2C" w14:textId="77777777" w:rsidR="009907BA" w:rsidRPr="00803DAB" w:rsidRDefault="009907BA" w:rsidP="00F87A29">
            <w:pPr>
              <w:pStyle w:val="17-tablecontent"/>
              <w:rPr>
                <w:color w:val="auto"/>
                <w:lang w:eastAsia="zh-CN"/>
              </w:rPr>
            </w:pPr>
          </w:p>
        </w:tc>
        <w:tc>
          <w:tcPr>
            <w:tcW w:w="266" w:type="pct"/>
            <w:tcBorders>
              <w:top w:val="nil"/>
              <w:bottom w:val="nil"/>
            </w:tcBorders>
            <w:vAlign w:val="center"/>
          </w:tcPr>
          <w:p w14:paraId="7A380FA8" w14:textId="77777777" w:rsidR="009907BA" w:rsidRPr="00803DAB" w:rsidRDefault="009907BA" w:rsidP="00F87A29">
            <w:pPr>
              <w:pStyle w:val="17-tablecontent"/>
              <w:rPr>
                <w:color w:val="auto"/>
                <w:lang w:eastAsia="zh-CN"/>
              </w:rPr>
            </w:pPr>
            <w:r w:rsidRPr="00803DAB">
              <w:rPr>
                <w:color w:val="auto"/>
                <w:lang w:eastAsia="zh-CN"/>
              </w:rPr>
              <w:t>95.5</w:t>
            </w:r>
          </w:p>
        </w:tc>
        <w:tc>
          <w:tcPr>
            <w:tcW w:w="230" w:type="pct"/>
            <w:tcBorders>
              <w:top w:val="nil"/>
              <w:bottom w:val="nil"/>
            </w:tcBorders>
            <w:vAlign w:val="center"/>
          </w:tcPr>
          <w:p w14:paraId="53BD96B7" w14:textId="77777777" w:rsidR="009907BA" w:rsidRPr="00803DAB" w:rsidRDefault="009907BA" w:rsidP="00F87A29">
            <w:pPr>
              <w:pStyle w:val="17-tablecontent"/>
              <w:rPr>
                <w:color w:val="auto"/>
                <w:lang w:eastAsia="zh-CN"/>
              </w:rPr>
            </w:pPr>
            <w:r w:rsidRPr="00803DAB">
              <w:rPr>
                <w:color w:val="auto"/>
                <w:lang w:eastAsia="zh-CN"/>
              </w:rPr>
              <w:t>88.1</w:t>
            </w:r>
          </w:p>
        </w:tc>
        <w:tc>
          <w:tcPr>
            <w:tcW w:w="230" w:type="pct"/>
            <w:tcBorders>
              <w:top w:val="nil"/>
              <w:bottom w:val="nil"/>
            </w:tcBorders>
            <w:vAlign w:val="center"/>
          </w:tcPr>
          <w:p w14:paraId="2B4BDFE5" w14:textId="77777777" w:rsidR="009907BA" w:rsidRPr="00803DAB" w:rsidRDefault="009907BA" w:rsidP="00F87A29">
            <w:pPr>
              <w:pStyle w:val="17-tablecontent"/>
              <w:rPr>
                <w:color w:val="auto"/>
                <w:lang w:eastAsia="zh-CN"/>
              </w:rPr>
            </w:pPr>
            <w:r w:rsidRPr="00803DAB">
              <w:rPr>
                <w:color w:val="auto"/>
                <w:lang w:eastAsia="zh-CN"/>
              </w:rPr>
              <w:t>79.7</w:t>
            </w:r>
          </w:p>
        </w:tc>
        <w:tc>
          <w:tcPr>
            <w:tcW w:w="230" w:type="pct"/>
            <w:tcBorders>
              <w:top w:val="nil"/>
              <w:bottom w:val="nil"/>
            </w:tcBorders>
            <w:vAlign w:val="center"/>
          </w:tcPr>
          <w:p w14:paraId="18D91FDF" w14:textId="77777777" w:rsidR="009907BA" w:rsidRPr="00803DAB" w:rsidRDefault="009907BA" w:rsidP="00F87A29">
            <w:pPr>
              <w:pStyle w:val="17-tablecontent"/>
              <w:rPr>
                <w:color w:val="auto"/>
                <w:lang w:eastAsia="zh-CN"/>
              </w:rPr>
            </w:pPr>
            <w:r w:rsidRPr="00803DAB">
              <w:rPr>
                <w:color w:val="auto"/>
                <w:lang w:eastAsia="zh-CN"/>
              </w:rPr>
              <w:t>53.8</w:t>
            </w:r>
          </w:p>
        </w:tc>
        <w:tc>
          <w:tcPr>
            <w:tcW w:w="230" w:type="pct"/>
            <w:tcBorders>
              <w:top w:val="nil"/>
              <w:bottom w:val="nil"/>
            </w:tcBorders>
            <w:vAlign w:val="center"/>
          </w:tcPr>
          <w:p w14:paraId="5CA87305"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45516BD2" w14:textId="77777777" w:rsidR="009907BA" w:rsidRPr="00803DAB" w:rsidRDefault="009907BA" w:rsidP="00F87A29">
            <w:pPr>
              <w:pStyle w:val="17-tablecontent"/>
              <w:rPr>
                <w:color w:val="auto"/>
                <w:lang w:eastAsia="zh-CN"/>
              </w:rPr>
            </w:pPr>
            <w:r w:rsidRPr="00803DAB">
              <w:rPr>
                <w:color w:val="auto"/>
                <w:lang w:eastAsia="zh-CN"/>
              </w:rPr>
              <w:t>0.81</w:t>
            </w:r>
          </w:p>
        </w:tc>
        <w:tc>
          <w:tcPr>
            <w:tcW w:w="230" w:type="pct"/>
            <w:tcBorders>
              <w:top w:val="nil"/>
              <w:bottom w:val="nil"/>
            </w:tcBorders>
            <w:vAlign w:val="center"/>
          </w:tcPr>
          <w:p w14:paraId="5FA22B6F"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6B691A7D" w14:textId="77777777" w:rsidR="009907BA" w:rsidRPr="00803DAB" w:rsidRDefault="009907BA" w:rsidP="00F87A29">
            <w:pPr>
              <w:pStyle w:val="17-tablecontent"/>
              <w:rPr>
                <w:color w:val="auto"/>
                <w:lang w:eastAsia="zh-CN"/>
              </w:rPr>
            </w:pPr>
            <w:r w:rsidRPr="00803DAB">
              <w:rPr>
                <w:color w:val="auto"/>
                <w:lang w:eastAsia="zh-CN"/>
              </w:rPr>
              <w:t>0.81</w:t>
            </w:r>
          </w:p>
        </w:tc>
        <w:tc>
          <w:tcPr>
            <w:tcW w:w="230" w:type="pct"/>
            <w:tcBorders>
              <w:top w:val="nil"/>
              <w:bottom w:val="nil"/>
            </w:tcBorders>
            <w:vAlign w:val="center"/>
          </w:tcPr>
          <w:p w14:paraId="3A2A0D18" w14:textId="77777777" w:rsidR="009907BA" w:rsidRPr="00803DAB" w:rsidRDefault="009907BA" w:rsidP="00F87A29">
            <w:pPr>
              <w:pStyle w:val="17-tablecontent"/>
              <w:rPr>
                <w:color w:val="auto"/>
                <w:lang w:eastAsia="zh-CN"/>
              </w:rPr>
            </w:pPr>
            <w:r w:rsidRPr="00803DAB">
              <w:rPr>
                <w:color w:val="auto"/>
                <w:lang w:eastAsia="zh-CN"/>
              </w:rPr>
              <w:t>0.93</w:t>
            </w:r>
          </w:p>
        </w:tc>
        <w:tc>
          <w:tcPr>
            <w:tcW w:w="230" w:type="pct"/>
            <w:tcBorders>
              <w:top w:val="nil"/>
              <w:bottom w:val="nil"/>
            </w:tcBorders>
            <w:vAlign w:val="center"/>
          </w:tcPr>
          <w:p w14:paraId="7A4529E8" w14:textId="77777777" w:rsidR="009907BA" w:rsidRPr="00803DAB" w:rsidRDefault="009907BA" w:rsidP="00F87A29">
            <w:pPr>
              <w:pStyle w:val="17-tablecontent"/>
              <w:rPr>
                <w:color w:val="auto"/>
                <w:lang w:eastAsia="zh-CN"/>
              </w:rPr>
            </w:pPr>
            <w:r w:rsidRPr="00803DAB">
              <w:rPr>
                <w:color w:val="auto"/>
                <w:lang w:eastAsia="zh-CN"/>
              </w:rPr>
              <w:t>0.99</w:t>
            </w:r>
          </w:p>
        </w:tc>
        <w:tc>
          <w:tcPr>
            <w:tcW w:w="230" w:type="pct"/>
            <w:tcBorders>
              <w:top w:val="nil"/>
              <w:left w:val="nil"/>
              <w:bottom w:val="nil"/>
              <w:right w:val="nil"/>
            </w:tcBorders>
            <w:shd w:val="clear" w:color="auto" w:fill="auto"/>
            <w:vAlign w:val="center"/>
          </w:tcPr>
          <w:p w14:paraId="4A65A177"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37F0398F" w14:textId="77777777" w:rsidR="009907BA" w:rsidRPr="00803DAB" w:rsidRDefault="009907BA" w:rsidP="00F87A29">
            <w:pPr>
              <w:pStyle w:val="17-tablecontent"/>
              <w:rPr>
                <w:color w:val="auto"/>
                <w:lang w:eastAsia="zh-CN"/>
              </w:rPr>
            </w:pPr>
          </w:p>
        </w:tc>
        <w:tc>
          <w:tcPr>
            <w:tcW w:w="782" w:type="pct"/>
            <w:tcBorders>
              <w:top w:val="nil"/>
              <w:bottom w:val="nil"/>
            </w:tcBorders>
            <w:vAlign w:val="center"/>
          </w:tcPr>
          <w:p w14:paraId="15DCE8EF" w14:textId="56C07B19"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{"citationItems":[{"id":"ITEM-1","itemData":{"abstract":"The use of a high speed video system allows one to precisely observe the cracking mechanisms, in particular if shear or tensile fracturing is taking place. The present experimental study on gypsum and marble specimens confirmed that tensile wing cracks (TWCs) are in most cases the first cracks to appear in fracture propagation from existing flaws independent of aperture and material. The study, in addition, has shown that complex additional cracking occurs which depends on orientation of the existing flaws and material type. Either the TWCs or the other tip cracks produce failure. Also important is the formation of a process zone which could be visually observed in some marble experiments, but not in gypsum experiments. Copyright 2005, ARMA, American Rock Mechanics Association.","author":[{"dropping-particle":"","family":"Wong","given":"L. N.Y.","non-dropping-particle":"","parse-names":false,"suffix":""},{"dropping-particle":"","family":"Einstein","given":"H.","non-dropping-particle":"","parse-names":false,"suffix":""}],"container-title":"Proceedings of the 41st U.S. Rock Mechanics Symposium - ARMA's Golden Rocks 2006 - 50 Years of Rock Mechanics","id":"ITEM-1","issue":"January","issued":{"date-parts":[["2006"]]},"title":"Fracturing behavior of prismatic specimens containing single flaws","type":"paper-conference"},"uris":["http://www.mendeley.com/documents/?uuid=31ac6dd2-767e-4e05-9287-d5d9ecc09468"]}],"mendeley":{"formattedCitation":"(Wong and Einstein, 2006)","manualFormatting":"Wong and Einstein (2006","plainTextFormattedCitation":"(Wong and Einstein, 2006)","previouslyFormattedCitation":"(Wong and Einstein 2006)"},"properties":{"noteIndex":0},"schema":"https://github.com/citation-style-language/schema/raw/master/csl-citation.json"}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Wong and Einstein (2006</w:t>
            </w:r>
            <w:r w:rsidRPr="00803DAB">
              <w:rPr>
                <w:color w:val="auto"/>
                <w:lang w:eastAsia="zh-CN"/>
              </w:rPr>
              <w:fldChar w:fldCharType="end"/>
            </w:r>
            <w:r w:rsidRPr="00803DAB">
              <w:rPr>
                <w:color w:val="auto"/>
                <w:lang w:eastAsia="zh-CN"/>
              </w:rPr>
              <w:t>)</w:t>
            </w:r>
          </w:p>
        </w:tc>
      </w:tr>
      <w:tr w:rsidR="009907BA" w:rsidRPr="00803DAB" w14:paraId="10AB6032" w14:textId="77777777" w:rsidTr="00F87A29">
        <w:tc>
          <w:tcPr>
            <w:tcW w:w="584" w:type="pct"/>
            <w:tcBorders>
              <w:top w:val="nil"/>
              <w:bottom w:val="nil"/>
            </w:tcBorders>
            <w:vAlign w:val="center"/>
          </w:tcPr>
          <w:p w14:paraId="0CCA8C74" w14:textId="77777777" w:rsidR="009907BA" w:rsidRPr="00803DAB" w:rsidRDefault="009907BA" w:rsidP="00F87A29">
            <w:pPr>
              <w:pStyle w:val="17-tablecontent"/>
              <w:rPr>
                <w:color w:val="auto"/>
                <w:lang w:eastAsia="zh-CN"/>
              </w:rPr>
            </w:pPr>
            <w:r w:rsidRPr="00803DAB">
              <w:rPr>
                <w:color w:val="auto"/>
                <w:lang w:eastAsia="zh-CN"/>
              </w:rPr>
              <w:t>Gypsum</w:t>
            </w:r>
          </w:p>
        </w:tc>
        <w:tc>
          <w:tcPr>
            <w:tcW w:w="339" w:type="pct"/>
            <w:tcBorders>
              <w:top w:val="nil"/>
              <w:bottom w:val="nil"/>
            </w:tcBorders>
            <w:vAlign w:val="center"/>
          </w:tcPr>
          <w:p w14:paraId="517AF5D0"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753504D3" w14:textId="77777777" w:rsidR="009907BA" w:rsidRPr="00803DAB" w:rsidRDefault="009907BA" w:rsidP="00F87A29">
            <w:pPr>
              <w:pStyle w:val="17-tablecontent"/>
              <w:rPr>
                <w:color w:val="auto"/>
                <w:lang w:eastAsia="zh-CN"/>
              </w:rPr>
            </w:pPr>
            <w:r w:rsidRPr="00803DAB">
              <w:rPr>
                <w:color w:val="auto"/>
                <w:lang w:eastAsia="zh-CN"/>
              </w:rPr>
              <w:t>89.7</w:t>
            </w:r>
          </w:p>
        </w:tc>
        <w:tc>
          <w:tcPr>
            <w:tcW w:w="266" w:type="pct"/>
            <w:tcBorders>
              <w:top w:val="nil"/>
              <w:bottom w:val="nil"/>
            </w:tcBorders>
            <w:vAlign w:val="center"/>
          </w:tcPr>
          <w:p w14:paraId="0E0711CF" w14:textId="77777777" w:rsidR="009907BA" w:rsidRPr="00803DAB" w:rsidRDefault="009907BA" w:rsidP="00F87A29">
            <w:pPr>
              <w:pStyle w:val="17-tablecontent"/>
              <w:rPr>
                <w:color w:val="auto"/>
                <w:lang w:eastAsia="zh-CN"/>
              </w:rPr>
            </w:pPr>
            <w:r w:rsidRPr="00803DAB">
              <w:rPr>
                <w:color w:val="auto"/>
                <w:lang w:eastAsia="zh-CN"/>
              </w:rPr>
              <w:t>108.7</w:t>
            </w:r>
          </w:p>
        </w:tc>
        <w:tc>
          <w:tcPr>
            <w:tcW w:w="266" w:type="pct"/>
            <w:tcBorders>
              <w:top w:val="nil"/>
              <w:bottom w:val="nil"/>
            </w:tcBorders>
            <w:vAlign w:val="center"/>
          </w:tcPr>
          <w:p w14:paraId="4042EF1E" w14:textId="77777777" w:rsidR="009907BA" w:rsidRPr="00803DAB" w:rsidRDefault="009907BA" w:rsidP="00F87A29">
            <w:pPr>
              <w:pStyle w:val="17-tablecontent"/>
              <w:rPr>
                <w:color w:val="auto"/>
                <w:lang w:eastAsia="zh-CN"/>
              </w:rPr>
            </w:pPr>
            <w:r w:rsidRPr="00803DAB">
              <w:rPr>
                <w:color w:val="auto"/>
                <w:lang w:eastAsia="zh-CN"/>
              </w:rPr>
              <w:t>106.1</w:t>
            </w:r>
          </w:p>
        </w:tc>
        <w:tc>
          <w:tcPr>
            <w:tcW w:w="230" w:type="pct"/>
            <w:tcBorders>
              <w:top w:val="nil"/>
              <w:bottom w:val="nil"/>
            </w:tcBorders>
            <w:vAlign w:val="center"/>
          </w:tcPr>
          <w:p w14:paraId="62DC1F39" w14:textId="77777777" w:rsidR="009907BA" w:rsidRPr="00803DAB" w:rsidRDefault="009907BA" w:rsidP="00F87A29">
            <w:pPr>
              <w:pStyle w:val="17-tablecontent"/>
              <w:rPr>
                <w:color w:val="auto"/>
                <w:lang w:eastAsia="zh-CN"/>
              </w:rPr>
            </w:pPr>
            <w:r w:rsidRPr="00803DAB">
              <w:rPr>
                <w:color w:val="auto"/>
                <w:lang w:eastAsia="zh-CN"/>
              </w:rPr>
              <w:t>95.5</w:t>
            </w:r>
          </w:p>
        </w:tc>
        <w:tc>
          <w:tcPr>
            <w:tcW w:w="230" w:type="pct"/>
            <w:tcBorders>
              <w:top w:val="nil"/>
              <w:bottom w:val="nil"/>
            </w:tcBorders>
            <w:vAlign w:val="center"/>
          </w:tcPr>
          <w:p w14:paraId="31A6B8EE" w14:textId="77777777" w:rsidR="009907BA" w:rsidRPr="00803DAB" w:rsidRDefault="009907BA" w:rsidP="00F87A29">
            <w:pPr>
              <w:pStyle w:val="17-tablecontent"/>
              <w:rPr>
                <w:color w:val="auto"/>
                <w:lang w:eastAsia="zh-CN"/>
              </w:rPr>
            </w:pPr>
            <w:r w:rsidRPr="00803DAB">
              <w:rPr>
                <w:color w:val="auto"/>
                <w:lang w:eastAsia="zh-CN"/>
              </w:rPr>
              <w:t>75.4</w:t>
            </w:r>
          </w:p>
        </w:tc>
        <w:tc>
          <w:tcPr>
            <w:tcW w:w="230" w:type="pct"/>
            <w:tcBorders>
              <w:top w:val="nil"/>
              <w:bottom w:val="nil"/>
            </w:tcBorders>
            <w:vAlign w:val="center"/>
          </w:tcPr>
          <w:p w14:paraId="64115987" w14:textId="77777777" w:rsidR="009907BA" w:rsidRPr="00803DAB" w:rsidRDefault="009907BA" w:rsidP="00F87A29">
            <w:pPr>
              <w:pStyle w:val="17-tablecontent"/>
              <w:rPr>
                <w:color w:val="auto"/>
                <w:lang w:eastAsia="zh-CN"/>
              </w:rPr>
            </w:pPr>
            <w:r w:rsidRPr="00803DAB">
              <w:rPr>
                <w:color w:val="auto"/>
                <w:lang w:eastAsia="zh-CN"/>
              </w:rPr>
              <w:t>51.7</w:t>
            </w:r>
          </w:p>
        </w:tc>
        <w:tc>
          <w:tcPr>
            <w:tcW w:w="230" w:type="pct"/>
            <w:tcBorders>
              <w:top w:val="nil"/>
              <w:bottom w:val="nil"/>
            </w:tcBorders>
            <w:vAlign w:val="center"/>
          </w:tcPr>
          <w:p w14:paraId="08A46C6F"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26E09061" w14:textId="77777777" w:rsidR="009907BA" w:rsidRPr="00803DAB" w:rsidRDefault="009907BA" w:rsidP="00F87A29">
            <w:pPr>
              <w:pStyle w:val="17-tablecontent"/>
              <w:rPr>
                <w:color w:val="auto"/>
                <w:lang w:eastAsia="zh-CN"/>
              </w:rPr>
            </w:pPr>
            <w:r w:rsidRPr="00803DAB">
              <w:rPr>
                <w:color w:val="auto"/>
                <w:lang w:eastAsia="zh-CN"/>
              </w:rPr>
              <w:t>0.46</w:t>
            </w:r>
          </w:p>
        </w:tc>
        <w:tc>
          <w:tcPr>
            <w:tcW w:w="230" w:type="pct"/>
            <w:tcBorders>
              <w:top w:val="nil"/>
              <w:left w:val="nil"/>
              <w:bottom w:val="nil"/>
              <w:right w:val="nil"/>
            </w:tcBorders>
            <w:shd w:val="clear" w:color="auto" w:fill="auto"/>
            <w:vAlign w:val="center"/>
          </w:tcPr>
          <w:p w14:paraId="100F999B" w14:textId="77777777" w:rsidR="009907BA" w:rsidRPr="00803DAB" w:rsidRDefault="009907BA" w:rsidP="00F87A29">
            <w:pPr>
              <w:pStyle w:val="17-tablecontent"/>
              <w:rPr>
                <w:color w:val="auto"/>
                <w:lang w:eastAsia="zh-CN"/>
              </w:rPr>
            </w:pPr>
            <w:r w:rsidRPr="00803DAB">
              <w:rPr>
                <w:color w:val="auto"/>
                <w:lang w:eastAsia="zh-CN"/>
              </w:rPr>
              <w:t>0.7</w:t>
            </w:r>
          </w:p>
        </w:tc>
        <w:tc>
          <w:tcPr>
            <w:tcW w:w="230" w:type="pct"/>
            <w:tcBorders>
              <w:top w:val="nil"/>
              <w:left w:val="nil"/>
              <w:bottom w:val="nil"/>
              <w:right w:val="nil"/>
            </w:tcBorders>
            <w:shd w:val="clear" w:color="auto" w:fill="auto"/>
            <w:vAlign w:val="center"/>
          </w:tcPr>
          <w:p w14:paraId="418483E9" w14:textId="77777777" w:rsidR="009907BA" w:rsidRPr="00803DAB" w:rsidRDefault="009907BA" w:rsidP="00F87A29">
            <w:pPr>
              <w:pStyle w:val="17-tablecontent"/>
              <w:rPr>
                <w:color w:val="auto"/>
                <w:lang w:eastAsia="zh-CN"/>
              </w:rPr>
            </w:pPr>
            <w:r w:rsidRPr="00803DAB">
              <w:rPr>
                <w:color w:val="auto"/>
                <w:lang w:eastAsia="zh-CN"/>
              </w:rPr>
              <w:t>0.80</w:t>
            </w:r>
          </w:p>
        </w:tc>
        <w:tc>
          <w:tcPr>
            <w:tcW w:w="230" w:type="pct"/>
            <w:tcBorders>
              <w:top w:val="nil"/>
              <w:left w:val="nil"/>
              <w:bottom w:val="nil"/>
              <w:right w:val="nil"/>
            </w:tcBorders>
            <w:shd w:val="clear" w:color="auto" w:fill="auto"/>
            <w:vAlign w:val="center"/>
          </w:tcPr>
          <w:p w14:paraId="13C548C1" w14:textId="77777777" w:rsidR="009907BA" w:rsidRPr="00803DAB" w:rsidRDefault="009907BA" w:rsidP="00F87A29">
            <w:pPr>
              <w:pStyle w:val="17-tablecontent"/>
              <w:rPr>
                <w:color w:val="auto"/>
                <w:lang w:eastAsia="zh-CN"/>
              </w:rPr>
            </w:pPr>
            <w:r w:rsidRPr="00803DAB">
              <w:rPr>
                <w:color w:val="auto"/>
                <w:lang w:eastAsia="zh-CN"/>
              </w:rPr>
              <w:t>0.91</w:t>
            </w:r>
          </w:p>
        </w:tc>
        <w:tc>
          <w:tcPr>
            <w:tcW w:w="230" w:type="pct"/>
            <w:tcBorders>
              <w:top w:val="nil"/>
              <w:left w:val="nil"/>
              <w:bottom w:val="nil"/>
              <w:right w:val="nil"/>
            </w:tcBorders>
            <w:shd w:val="clear" w:color="auto" w:fill="auto"/>
            <w:vAlign w:val="center"/>
          </w:tcPr>
          <w:p w14:paraId="1284D60E" w14:textId="77777777" w:rsidR="009907BA" w:rsidRPr="00803DAB" w:rsidRDefault="009907BA" w:rsidP="00F87A29">
            <w:pPr>
              <w:pStyle w:val="17-tablecontent"/>
              <w:rPr>
                <w:color w:val="auto"/>
                <w:lang w:eastAsia="zh-CN"/>
              </w:rPr>
            </w:pPr>
            <w:r w:rsidRPr="00803DAB">
              <w:rPr>
                <w:color w:val="auto"/>
                <w:lang w:eastAsia="zh-CN"/>
              </w:rPr>
              <w:t>0.97</w:t>
            </w:r>
          </w:p>
        </w:tc>
        <w:tc>
          <w:tcPr>
            <w:tcW w:w="230" w:type="pct"/>
            <w:tcBorders>
              <w:top w:val="nil"/>
              <w:left w:val="nil"/>
              <w:bottom w:val="nil"/>
              <w:right w:val="nil"/>
            </w:tcBorders>
            <w:shd w:val="clear" w:color="auto" w:fill="auto"/>
            <w:vAlign w:val="center"/>
          </w:tcPr>
          <w:p w14:paraId="0D148492" w14:textId="77777777" w:rsidR="009907BA" w:rsidRPr="00803DAB" w:rsidRDefault="009907BA" w:rsidP="00F87A29">
            <w:pPr>
              <w:pStyle w:val="17-tablecontent"/>
              <w:rPr>
                <w:color w:val="auto"/>
                <w:lang w:eastAsia="zh-CN"/>
              </w:rPr>
            </w:pPr>
            <w:r w:rsidRPr="00803DAB">
              <w:rPr>
                <w:color w:val="auto"/>
                <w:lang w:eastAsia="zh-CN"/>
              </w:rPr>
              <w:t>1</w:t>
            </w:r>
          </w:p>
        </w:tc>
        <w:tc>
          <w:tcPr>
            <w:tcW w:w="230" w:type="pct"/>
            <w:tcBorders>
              <w:top w:val="nil"/>
              <w:left w:val="nil"/>
              <w:bottom w:val="nil"/>
              <w:right w:val="nil"/>
            </w:tcBorders>
            <w:shd w:val="clear" w:color="auto" w:fill="auto"/>
            <w:vAlign w:val="center"/>
          </w:tcPr>
          <w:p w14:paraId="672E9254" w14:textId="77777777" w:rsidR="009907BA" w:rsidRPr="00803DAB" w:rsidRDefault="009907BA" w:rsidP="00F87A29">
            <w:pPr>
              <w:pStyle w:val="17-tablecontent"/>
              <w:rPr>
                <w:color w:val="auto"/>
                <w:lang w:eastAsia="zh-CN"/>
              </w:rPr>
            </w:pPr>
          </w:p>
        </w:tc>
        <w:tc>
          <w:tcPr>
            <w:tcW w:w="782" w:type="pct"/>
            <w:tcBorders>
              <w:top w:val="nil"/>
              <w:bottom w:val="nil"/>
            </w:tcBorders>
            <w:vAlign w:val="center"/>
          </w:tcPr>
          <w:p w14:paraId="00B090B0" w14:textId="7C1D76C6"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{"citationItems":[{"id":"ITEM-1","itemData":{"abstract":"The use of a high speed video system allows one to precisely observe the cracking mechanisms, in particular if shear or tensile fracturing is taking place. The present experimental study on gypsum and marble specimens confirmed that tensile wing cracks (TWCs) are in most cases the first cracks to appear in fracture propagation from existing flaws independent of aperture and material. The study, in addition, has shown that complex additional cracking occurs which depends on orientation of the existing flaws and material type. Either the TWCs or the other tip cracks produce failure. Also important is the formation of a process zone which could be visually observed in some marble experiments, but not in gypsum experiments. Copyright 2005, ARMA, American Rock Mechanics Association.","author":[{"dropping-particle":"","family":"Wong","given":"L. N.Y.","non-dropping-particle":"","parse-names":false,"suffix":""},{"dropping-particle":"","family":"Einstein","given":"H.","non-dropping-particle":"","parse-names":false,"suffix":""}],"container-title":"Proceedings of the 41st U.S. Rock Mechanics Symposium - ARMA's Golden Rocks 2006 - 50 Years of Rock Mechanics","id":"ITEM-1","issue":"January","issued":{"date-parts":[["2006"]]},"title":"Fracturing behavior of prismatic specimens containing single flaws","type":"paper-conference"},"uris":["http://www.mendeley.com/documents/?uuid=31ac6dd2-767e-4e05-9287-d5d9ecc09468"]}],"mendeley":{"formattedCitation":"(Wong and Einstein, 2006)","manualFormatting":"Wong and Einstein (2006","plainTextFormattedCitation":"(Wong and Einstein, 2006)","previouslyFormattedCitation":"(Wong and Einstein 2006)"},"properties":{"noteIndex":0},"schema":"https://github.com/citation-style-language/schema/raw/master/csl-citation.json"}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Wong and Einstein (2006</w:t>
            </w:r>
            <w:r w:rsidRPr="00803DAB">
              <w:rPr>
                <w:color w:val="auto"/>
                <w:lang w:eastAsia="zh-CN"/>
              </w:rPr>
              <w:fldChar w:fldCharType="end"/>
            </w:r>
            <w:r w:rsidRPr="00803DAB">
              <w:rPr>
                <w:color w:val="auto"/>
                <w:lang w:eastAsia="zh-CN"/>
              </w:rPr>
              <w:t>)</w:t>
            </w:r>
          </w:p>
        </w:tc>
      </w:tr>
      <w:tr w:rsidR="009907BA" w:rsidRPr="00803DAB" w14:paraId="20152CD4" w14:textId="77777777" w:rsidTr="00F87A29">
        <w:tc>
          <w:tcPr>
            <w:tcW w:w="584" w:type="pct"/>
            <w:tcBorders>
              <w:top w:val="nil"/>
              <w:bottom w:val="nil"/>
            </w:tcBorders>
            <w:vAlign w:val="center"/>
          </w:tcPr>
          <w:p w14:paraId="199610BF" w14:textId="77777777" w:rsidR="009907BA" w:rsidRPr="00803DAB" w:rsidRDefault="009907BA" w:rsidP="00F87A29">
            <w:pPr>
              <w:pStyle w:val="17-tablecontent"/>
              <w:rPr>
                <w:color w:val="auto"/>
                <w:lang w:eastAsia="zh-CN"/>
              </w:rPr>
            </w:pPr>
            <w:r w:rsidRPr="00803DAB">
              <w:rPr>
                <w:color w:val="auto"/>
                <w:lang w:eastAsia="zh-CN"/>
              </w:rPr>
              <w:t>Gypsum</w:t>
            </w:r>
          </w:p>
        </w:tc>
        <w:tc>
          <w:tcPr>
            <w:tcW w:w="339" w:type="pct"/>
            <w:tcBorders>
              <w:top w:val="nil"/>
              <w:bottom w:val="nil"/>
            </w:tcBorders>
            <w:vAlign w:val="center"/>
          </w:tcPr>
          <w:p w14:paraId="2D0D1F4E" w14:textId="77777777" w:rsidR="009907BA" w:rsidRPr="00803DAB" w:rsidRDefault="009907BA" w:rsidP="00F87A29">
            <w:pPr>
              <w:pStyle w:val="17-tablecontent"/>
              <w:rPr>
                <w:color w:val="auto"/>
                <w:lang w:eastAsia="zh-CN"/>
              </w:rPr>
            </w:pPr>
            <w:r w:rsidRPr="00803DAB">
              <w:rPr>
                <w:color w:val="auto"/>
                <w:lang w:eastAsia="zh-CN"/>
              </w:rPr>
              <w:t>47.4</w:t>
            </w:r>
          </w:p>
        </w:tc>
        <w:tc>
          <w:tcPr>
            <w:tcW w:w="230" w:type="pct"/>
            <w:tcBorders>
              <w:top w:val="nil"/>
              <w:bottom w:val="nil"/>
            </w:tcBorders>
            <w:vAlign w:val="center"/>
          </w:tcPr>
          <w:p w14:paraId="6B76C019" w14:textId="77777777" w:rsidR="009907BA" w:rsidRPr="00803DAB" w:rsidRDefault="009907BA" w:rsidP="00F87A29">
            <w:pPr>
              <w:pStyle w:val="17-tablecontent"/>
              <w:rPr>
                <w:color w:val="auto"/>
                <w:lang w:eastAsia="zh-CN"/>
              </w:rPr>
            </w:pPr>
          </w:p>
        </w:tc>
        <w:tc>
          <w:tcPr>
            <w:tcW w:w="266" w:type="pct"/>
            <w:tcBorders>
              <w:top w:val="nil"/>
              <w:bottom w:val="nil"/>
            </w:tcBorders>
            <w:vAlign w:val="center"/>
          </w:tcPr>
          <w:p w14:paraId="45B46F96" w14:textId="77777777" w:rsidR="009907BA" w:rsidRPr="00803DAB" w:rsidRDefault="009907BA" w:rsidP="00F87A29">
            <w:pPr>
              <w:pStyle w:val="17-tablecontent"/>
              <w:rPr>
                <w:color w:val="auto"/>
                <w:lang w:eastAsia="zh-CN"/>
              </w:rPr>
            </w:pPr>
          </w:p>
        </w:tc>
        <w:tc>
          <w:tcPr>
            <w:tcW w:w="266" w:type="pct"/>
            <w:tcBorders>
              <w:top w:val="nil"/>
              <w:bottom w:val="nil"/>
            </w:tcBorders>
            <w:vAlign w:val="center"/>
          </w:tcPr>
          <w:p w14:paraId="3629B053"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785E2A07"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4F7F527E"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628C80AA"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4330F23E"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47CA115C"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2E08D249" w14:textId="77777777" w:rsidR="009907BA" w:rsidRPr="00803DAB" w:rsidRDefault="009907BA" w:rsidP="00F87A29">
            <w:pPr>
              <w:pStyle w:val="17-tablecontent"/>
              <w:rPr>
                <w:color w:val="auto"/>
                <w:lang w:eastAsia="zh-CN"/>
              </w:rPr>
            </w:pPr>
            <w:r w:rsidRPr="00803DAB">
              <w:rPr>
                <w:color w:val="auto"/>
                <w:lang w:eastAsia="zh-CN"/>
              </w:rPr>
              <w:t>0.77</w:t>
            </w:r>
          </w:p>
        </w:tc>
        <w:tc>
          <w:tcPr>
            <w:tcW w:w="230" w:type="pct"/>
            <w:tcBorders>
              <w:top w:val="nil"/>
              <w:left w:val="nil"/>
              <w:bottom w:val="nil"/>
              <w:right w:val="nil"/>
            </w:tcBorders>
            <w:shd w:val="clear" w:color="auto" w:fill="auto"/>
            <w:vAlign w:val="center"/>
          </w:tcPr>
          <w:p w14:paraId="23780886" w14:textId="77777777" w:rsidR="009907BA" w:rsidRPr="00803DAB" w:rsidRDefault="009907BA" w:rsidP="00F87A29">
            <w:pPr>
              <w:pStyle w:val="17-tablecontent"/>
              <w:rPr>
                <w:color w:val="auto"/>
                <w:lang w:eastAsia="zh-CN"/>
              </w:rPr>
            </w:pPr>
            <w:r w:rsidRPr="00803DAB">
              <w:rPr>
                <w:color w:val="auto"/>
                <w:lang w:eastAsia="zh-CN"/>
              </w:rPr>
              <w:t>0.83</w:t>
            </w:r>
          </w:p>
        </w:tc>
        <w:tc>
          <w:tcPr>
            <w:tcW w:w="230" w:type="pct"/>
            <w:tcBorders>
              <w:top w:val="nil"/>
              <w:left w:val="nil"/>
              <w:bottom w:val="nil"/>
              <w:right w:val="nil"/>
            </w:tcBorders>
            <w:shd w:val="clear" w:color="auto" w:fill="auto"/>
            <w:vAlign w:val="center"/>
          </w:tcPr>
          <w:p w14:paraId="4EEBB387" w14:textId="77777777" w:rsidR="009907BA" w:rsidRPr="00803DAB" w:rsidRDefault="009907BA" w:rsidP="00F87A29">
            <w:pPr>
              <w:pStyle w:val="17-tablecontent"/>
              <w:rPr>
                <w:color w:val="auto"/>
                <w:lang w:eastAsia="zh-CN"/>
              </w:rPr>
            </w:pPr>
            <w:r w:rsidRPr="00803DAB">
              <w:rPr>
                <w:color w:val="auto"/>
                <w:lang w:eastAsia="zh-CN"/>
              </w:rPr>
              <w:t>0.83</w:t>
            </w:r>
          </w:p>
        </w:tc>
        <w:tc>
          <w:tcPr>
            <w:tcW w:w="230" w:type="pct"/>
            <w:tcBorders>
              <w:top w:val="nil"/>
              <w:left w:val="nil"/>
              <w:bottom w:val="nil"/>
              <w:right w:val="nil"/>
            </w:tcBorders>
            <w:shd w:val="clear" w:color="auto" w:fill="auto"/>
            <w:vAlign w:val="center"/>
          </w:tcPr>
          <w:p w14:paraId="43531A62" w14:textId="77777777" w:rsidR="009907BA" w:rsidRPr="00803DAB" w:rsidRDefault="009907BA" w:rsidP="00F87A29">
            <w:pPr>
              <w:pStyle w:val="17-tablecontent"/>
              <w:rPr>
                <w:color w:val="auto"/>
                <w:lang w:eastAsia="zh-CN"/>
              </w:rPr>
            </w:pPr>
            <w:r w:rsidRPr="00803DAB">
              <w:rPr>
                <w:color w:val="auto"/>
                <w:lang w:eastAsia="zh-CN"/>
              </w:rPr>
              <w:t>0.67</w:t>
            </w:r>
          </w:p>
        </w:tc>
        <w:tc>
          <w:tcPr>
            <w:tcW w:w="230" w:type="pct"/>
            <w:tcBorders>
              <w:top w:val="nil"/>
              <w:left w:val="nil"/>
              <w:bottom w:val="nil"/>
              <w:right w:val="nil"/>
            </w:tcBorders>
            <w:shd w:val="clear" w:color="auto" w:fill="auto"/>
            <w:vAlign w:val="center"/>
          </w:tcPr>
          <w:p w14:paraId="6628015C" w14:textId="77777777" w:rsidR="009907BA" w:rsidRPr="00803DAB" w:rsidRDefault="009907BA" w:rsidP="00F87A29">
            <w:pPr>
              <w:pStyle w:val="17-tablecontent"/>
              <w:rPr>
                <w:color w:val="auto"/>
                <w:lang w:eastAsia="zh-CN"/>
              </w:rPr>
            </w:pPr>
            <w:r w:rsidRPr="00803DAB">
              <w:rPr>
                <w:color w:val="auto"/>
                <w:lang w:eastAsia="zh-CN"/>
              </w:rPr>
              <w:t>0.9</w:t>
            </w:r>
          </w:p>
        </w:tc>
        <w:tc>
          <w:tcPr>
            <w:tcW w:w="230" w:type="pct"/>
            <w:tcBorders>
              <w:top w:val="nil"/>
              <w:left w:val="nil"/>
              <w:bottom w:val="nil"/>
              <w:right w:val="nil"/>
            </w:tcBorders>
            <w:shd w:val="clear" w:color="auto" w:fill="auto"/>
            <w:vAlign w:val="center"/>
          </w:tcPr>
          <w:p w14:paraId="27C90582" w14:textId="77777777" w:rsidR="009907BA" w:rsidRPr="00803DAB" w:rsidRDefault="009907BA" w:rsidP="00F87A29">
            <w:pPr>
              <w:pStyle w:val="17-tablecontent"/>
              <w:rPr>
                <w:color w:val="auto"/>
                <w:lang w:eastAsia="zh-CN"/>
              </w:rPr>
            </w:pPr>
          </w:p>
        </w:tc>
        <w:tc>
          <w:tcPr>
            <w:tcW w:w="782" w:type="pct"/>
            <w:tcBorders>
              <w:top w:val="nil"/>
              <w:bottom w:val="nil"/>
            </w:tcBorders>
            <w:vAlign w:val="center"/>
          </w:tcPr>
          <w:p w14:paraId="65E512F5" w14:textId="636C7C29"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{"citationItems":[{"id":"ITEM-1","itemData":{"DOI":"10.1007/s10064-018-1379-2","ISSN":"14359529","abstract":"A uniaxial compression test was conducted with a servo loading apparatus to study the failure of a rock-like specimen with a pre-existing single flaw. The evolution of cracks was monitored with digital image correlation technology and simulated with the expanded distinct element method based on the strain strength criterion. The concentration and evolution of the principal strain field were found to be consistent with the initiation, propagation, and coalescence of cracks. As the inclination angle increased, the position of the maximum principal strain concentration changed from within the flaw to the flaw tips, and the distribution of the horizontal displacement field changed from symmetric to antisymmetric. The initiation stress and peak strength were affected by the inclination angle; they were minimum when the inclination angle was 60°. As the inclination angle increased, the failure mode of the specimens transformed from mostly tensile failure to mostly shear failure.","author":[{"dropping-particle":"","family":"Zhao","given":"Cheng","non-dropping-particle":"","parse-names":false,"suffix":""},{"dropping-particle":"","family":"Niu","given":"Jialun","non-dropping-particle":"","parse-names":false,"suffix":""},{"dropping-particle":"","family":"Zhang","given":"Qingzhao","non-dropping-particle":"","parse-names":false,"suffix":""},{"dropping-particle":"","family":"Zhao","given":"Chunfeng","non-dropping-particle":"","parse-names":false,"suffix":""},{"dropping-particle":"","family":"Zhou","given":"Yimeng","non-dropping-particle":"","parse-names":false,"suffix":""}],"container-title":"Bulletin of Engineering Geology and the Environment","id":"ITEM-1","issue":"1","issued":{"date-parts":[["2019"]]},"page":"593-603","publisher":"Bulletin of Engineering Geology and the Environment","title":"Failure characteristics of rock-like materials with single flaws under uniaxial compression","type":"article-journal","volume":"78"},"uris":["http://www.mendeley.com/documents/?uuid=e72eaeca-1930-4e28-ac07-7cb8cd42a1a3"]}],"mendeley":{"formattedCitation":"(Zhao et al., 2019)","manualFormatting":"Zhao et al. (2019","plainTextFormattedCitation":"(Zhao et al., 2019)","previouslyFormattedCitation":"(Zhao et al. 2019)"},"properties":{"noteIndex":0},"schema":"https://github.com/citation-style-language/schema/raw/master/csl-citation.json"}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Zhao et al. (2019</w:t>
            </w:r>
            <w:r w:rsidRPr="00803DAB">
              <w:rPr>
                <w:color w:val="auto"/>
                <w:lang w:eastAsia="zh-CN"/>
              </w:rPr>
              <w:fldChar w:fldCharType="end"/>
            </w:r>
            <w:r w:rsidRPr="00803DAB">
              <w:rPr>
                <w:color w:val="auto"/>
                <w:lang w:eastAsia="zh-CN"/>
              </w:rPr>
              <w:t>)</w:t>
            </w:r>
          </w:p>
        </w:tc>
      </w:tr>
      <w:tr w:rsidR="009907BA" w:rsidRPr="00803DAB" w14:paraId="74E99A11" w14:textId="77777777" w:rsidTr="00F87A29">
        <w:tc>
          <w:tcPr>
            <w:tcW w:w="584" w:type="pct"/>
            <w:tcBorders>
              <w:top w:val="nil"/>
              <w:bottom w:val="nil"/>
            </w:tcBorders>
            <w:vAlign w:val="center"/>
          </w:tcPr>
          <w:p w14:paraId="6765831A" w14:textId="77777777" w:rsidR="009907BA" w:rsidRPr="00803DAB" w:rsidRDefault="009907BA" w:rsidP="00F87A29">
            <w:pPr>
              <w:pStyle w:val="17-tablecontent"/>
              <w:rPr>
                <w:color w:val="auto"/>
                <w:lang w:eastAsia="zh-CN"/>
              </w:rPr>
            </w:pPr>
            <w:r w:rsidRPr="00803DAB">
              <w:rPr>
                <w:color w:val="auto"/>
                <w:lang w:eastAsia="zh-CN"/>
              </w:rPr>
              <w:t>Marble</w:t>
            </w:r>
          </w:p>
        </w:tc>
        <w:tc>
          <w:tcPr>
            <w:tcW w:w="339" w:type="pct"/>
            <w:tcBorders>
              <w:top w:val="nil"/>
              <w:bottom w:val="nil"/>
            </w:tcBorders>
            <w:vAlign w:val="center"/>
          </w:tcPr>
          <w:p w14:paraId="3C635E3A" w14:textId="77777777" w:rsidR="009907BA" w:rsidRPr="00803DAB" w:rsidRDefault="009907BA" w:rsidP="00F87A29">
            <w:pPr>
              <w:pStyle w:val="17-tablecontent"/>
              <w:rPr>
                <w:color w:val="auto"/>
                <w:lang w:eastAsia="zh-CN"/>
              </w:rPr>
            </w:pPr>
            <w:r w:rsidRPr="00803DAB">
              <w:rPr>
                <w:color w:val="auto"/>
                <w:lang w:eastAsia="zh-CN"/>
              </w:rPr>
              <w:t>113.4</w:t>
            </w:r>
          </w:p>
        </w:tc>
        <w:tc>
          <w:tcPr>
            <w:tcW w:w="230" w:type="pct"/>
            <w:tcBorders>
              <w:top w:val="nil"/>
              <w:bottom w:val="nil"/>
            </w:tcBorders>
            <w:vAlign w:val="center"/>
          </w:tcPr>
          <w:p w14:paraId="4B22B27C" w14:textId="77777777" w:rsidR="009907BA" w:rsidRPr="00803DAB" w:rsidRDefault="009907BA" w:rsidP="00F87A29">
            <w:pPr>
              <w:pStyle w:val="17-tablecontent"/>
              <w:rPr>
                <w:color w:val="auto"/>
                <w:lang w:eastAsia="zh-CN"/>
              </w:rPr>
            </w:pPr>
          </w:p>
        </w:tc>
        <w:tc>
          <w:tcPr>
            <w:tcW w:w="266" w:type="pct"/>
            <w:tcBorders>
              <w:top w:val="nil"/>
              <w:bottom w:val="nil"/>
            </w:tcBorders>
            <w:vAlign w:val="center"/>
          </w:tcPr>
          <w:p w14:paraId="0D26099B" w14:textId="77777777" w:rsidR="009907BA" w:rsidRPr="00803DAB" w:rsidRDefault="009907BA" w:rsidP="00F87A29">
            <w:pPr>
              <w:pStyle w:val="17-tablecontent"/>
              <w:rPr>
                <w:color w:val="auto"/>
                <w:lang w:eastAsia="zh-CN"/>
              </w:rPr>
            </w:pPr>
          </w:p>
        </w:tc>
        <w:tc>
          <w:tcPr>
            <w:tcW w:w="266" w:type="pct"/>
            <w:tcBorders>
              <w:top w:val="nil"/>
              <w:bottom w:val="nil"/>
            </w:tcBorders>
            <w:vAlign w:val="center"/>
          </w:tcPr>
          <w:p w14:paraId="074B2886"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695E4C68"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61A626AB"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3E2655BF"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5FB4623E" w14:textId="77777777" w:rsidR="009907BA" w:rsidRPr="00803DAB" w:rsidRDefault="009907BA" w:rsidP="00F87A29">
            <w:pPr>
              <w:pStyle w:val="17-tablecontent"/>
              <w:rPr>
                <w:color w:val="auto"/>
                <w:lang w:eastAsia="zh-CN"/>
              </w:rPr>
            </w:pPr>
          </w:p>
        </w:tc>
        <w:tc>
          <w:tcPr>
            <w:tcW w:w="230" w:type="pct"/>
            <w:tcBorders>
              <w:top w:val="nil"/>
              <w:bottom w:val="nil"/>
            </w:tcBorders>
            <w:vAlign w:val="center"/>
          </w:tcPr>
          <w:p w14:paraId="2629C6E8" w14:textId="77777777" w:rsidR="009907BA" w:rsidRPr="00803DAB" w:rsidRDefault="009907BA" w:rsidP="00F87A29">
            <w:pPr>
              <w:pStyle w:val="17-tablecontent"/>
              <w:rPr>
                <w:color w:val="auto"/>
                <w:lang w:eastAsia="zh-CN"/>
              </w:rPr>
            </w:pPr>
            <w:r w:rsidRPr="00803DAB">
              <w:rPr>
                <w:color w:val="auto"/>
                <w:lang w:eastAsia="zh-CN"/>
              </w:rPr>
              <w:t>0.74</w:t>
            </w:r>
          </w:p>
        </w:tc>
        <w:tc>
          <w:tcPr>
            <w:tcW w:w="230" w:type="pct"/>
            <w:tcBorders>
              <w:top w:val="nil"/>
              <w:left w:val="nil"/>
              <w:bottom w:val="nil"/>
              <w:right w:val="nil"/>
            </w:tcBorders>
            <w:shd w:val="clear" w:color="auto" w:fill="auto"/>
            <w:vAlign w:val="center"/>
          </w:tcPr>
          <w:p w14:paraId="2BC078B7"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11E3D46F" w14:textId="77777777" w:rsidR="009907BA" w:rsidRPr="00803DAB" w:rsidRDefault="009907BA" w:rsidP="00F87A29">
            <w:pPr>
              <w:pStyle w:val="17-tablecontent"/>
              <w:rPr>
                <w:color w:val="auto"/>
                <w:lang w:eastAsia="zh-CN"/>
              </w:rPr>
            </w:pPr>
            <w:r w:rsidRPr="00803DAB">
              <w:rPr>
                <w:color w:val="auto"/>
                <w:lang w:eastAsia="zh-CN"/>
              </w:rPr>
              <w:t>0.95</w:t>
            </w:r>
          </w:p>
        </w:tc>
        <w:tc>
          <w:tcPr>
            <w:tcW w:w="230" w:type="pct"/>
            <w:tcBorders>
              <w:top w:val="nil"/>
              <w:left w:val="nil"/>
              <w:bottom w:val="nil"/>
              <w:right w:val="nil"/>
            </w:tcBorders>
            <w:shd w:val="clear" w:color="auto" w:fill="auto"/>
            <w:vAlign w:val="center"/>
          </w:tcPr>
          <w:p w14:paraId="6C595288" w14:textId="77777777" w:rsidR="009907BA" w:rsidRPr="00803DAB" w:rsidRDefault="009907BA" w:rsidP="00F87A29">
            <w:pPr>
              <w:pStyle w:val="17-tablecontent"/>
              <w:rPr>
                <w:color w:val="auto"/>
                <w:lang w:eastAsia="zh-CN"/>
              </w:rPr>
            </w:pPr>
            <w:r w:rsidRPr="00803DAB">
              <w:rPr>
                <w:color w:val="auto"/>
                <w:lang w:eastAsia="zh-CN"/>
              </w:rPr>
              <w:t>0.98</w:t>
            </w:r>
          </w:p>
        </w:tc>
        <w:tc>
          <w:tcPr>
            <w:tcW w:w="230" w:type="pct"/>
            <w:tcBorders>
              <w:top w:val="nil"/>
              <w:left w:val="nil"/>
              <w:bottom w:val="nil"/>
              <w:right w:val="nil"/>
            </w:tcBorders>
            <w:shd w:val="clear" w:color="auto" w:fill="auto"/>
            <w:vAlign w:val="center"/>
          </w:tcPr>
          <w:p w14:paraId="39C00BB1"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178D4884" w14:textId="77777777" w:rsidR="009907BA" w:rsidRPr="00803DAB" w:rsidRDefault="009907BA" w:rsidP="00F87A29">
            <w:pPr>
              <w:pStyle w:val="17-tablecontent"/>
              <w:rPr>
                <w:color w:val="auto"/>
                <w:lang w:eastAsia="zh-CN"/>
              </w:rPr>
            </w:pPr>
          </w:p>
        </w:tc>
        <w:tc>
          <w:tcPr>
            <w:tcW w:w="230" w:type="pct"/>
            <w:tcBorders>
              <w:top w:val="nil"/>
              <w:left w:val="nil"/>
              <w:bottom w:val="nil"/>
              <w:right w:val="nil"/>
            </w:tcBorders>
            <w:shd w:val="clear" w:color="auto" w:fill="auto"/>
            <w:vAlign w:val="center"/>
          </w:tcPr>
          <w:p w14:paraId="2223A0CF" w14:textId="77777777" w:rsidR="009907BA" w:rsidRPr="00803DAB" w:rsidRDefault="009907BA" w:rsidP="00F87A29">
            <w:pPr>
              <w:pStyle w:val="17-tablecontent"/>
              <w:rPr>
                <w:color w:val="auto"/>
                <w:lang w:eastAsia="zh-CN"/>
              </w:rPr>
            </w:pPr>
          </w:p>
        </w:tc>
        <w:tc>
          <w:tcPr>
            <w:tcW w:w="782" w:type="pct"/>
            <w:tcBorders>
              <w:top w:val="nil"/>
              <w:bottom w:val="nil"/>
            </w:tcBorders>
            <w:vAlign w:val="center"/>
          </w:tcPr>
          <w:p w14:paraId="4BDCE929" w14:textId="2B1F1F27"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{"citationItems":[{"id":"ITEM-1","itemData":{"DOI":"10.1007/s10064-020-01764-4","ISSN":"1435-9529","abstract":"In this study, full-field strain evolution and characteristic stress levels of marble samples containing a single pre-existing flaw were comprehensively studied. The full-field strain was performed by digital image correlation (DIC) method, and the variations of characteristic stress levels with respect to inclination angle were discussed. To compare the experimental results, discrete element method was adopted, and the full-field stress evolution was reproduced to reappraise the localization zones. The results indicate that the presence of pre-existing flaws induces strain localization and degradation of mechanical properties for pre-cracked samples. When the strain localization firstly appeared surrounding pre-existing flaws, the axial stress levels at this moment increase with regard to inclination angle, leading to the increase of peak strength, crack initiation stress, crack damage stress, and normalized crack initiation stress. The normalized crack damage stress obtained by experiments shows flaw independency, and the results were verified by simulation results. Based on the full-field stress evolution, the tensile stress in x direction concentrates around pre-existing flaw and its location moves towards flaw tips with the increase of inclination angle. The compressive stress in y direction around pre-existing flaw is lower than other zones, revealing the upper and bottom surfaces of pre-existing flaw deform to each other. When the numerical models are subjected to same axial loading, the full-field stress around pre-existing flaw decrease as the inclination angle increases, which confirmed the results of full-field strain evolution and elucidated the pre-existing flaw with large inclination angle has less effect on degrading the mechanical properties.","author":[{"dropping-particle":"","family":"Liu","given":"Liwang","non-dropping-particle":"","parse-names":false,"suffix":""},{"dropping-particle":"","family":"Li","given":"Haibo","non-dropping-particle":"","parse-names":false,"suffix":""},{"dropping-particle":"","family":"Li","given":"Xiaofeng","non-dropping-particle":"","parse-names":false,"suffix":""},{"dropping-particle":"","family":"Wu","given":"Renjie","non-dropping-particle":"","parse-names":false,"suffix":""}],"container-title":"Bulletin of Engineering Geology and the Environment","id":"ITEM-1","issue":"6","issued":{"date-parts":[["2020","8","4"]]},"page":"3145-3161","title":"Full-field strain evolution and characteristic stress levels of rocks containing a single pre-existing flaw under uniaxial compression","type":"article-journal","volume":"79"},"uris":["http://www.mendeley.com/documents/?uuid=6cc53e0c-4831-4b5f-b3b7-ee3be5514d92"]}],"mendeley":{"formattedCitation":"(Liu et al., 2020)","manualFormatting":"Liu et al. (2020","plainTextFormattedCitation":"(Liu et al., 2020)","previouslyFormattedCitation":"(Liu et al. 2020)"},"properties":{"noteIndex":0},"schema":"https://github.com/citation-style-language/schema/raw/master/csl-citation.json"}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Liu et al. (2020</w:t>
            </w:r>
            <w:r w:rsidRPr="00803DAB">
              <w:rPr>
                <w:color w:val="auto"/>
                <w:lang w:eastAsia="zh-CN"/>
              </w:rPr>
              <w:fldChar w:fldCharType="end"/>
            </w:r>
            <w:r w:rsidRPr="00803DAB">
              <w:rPr>
                <w:color w:val="auto"/>
                <w:lang w:eastAsia="zh-CN"/>
              </w:rPr>
              <w:t>)</w:t>
            </w:r>
          </w:p>
        </w:tc>
      </w:tr>
      <w:tr w:rsidR="009907BA" w:rsidRPr="00803DAB" w14:paraId="2B50D49C" w14:textId="77777777" w:rsidTr="00F87A29">
        <w:tc>
          <w:tcPr>
            <w:tcW w:w="584" w:type="pct"/>
            <w:tcBorders>
              <w:top w:val="nil"/>
              <w:bottom w:val="single" w:sz="4" w:space="0" w:color="auto"/>
            </w:tcBorders>
            <w:vAlign w:val="center"/>
          </w:tcPr>
          <w:p w14:paraId="40C865A7" w14:textId="77777777" w:rsidR="009907BA" w:rsidRPr="00803DAB" w:rsidRDefault="009907BA" w:rsidP="00F87A29">
            <w:pPr>
              <w:pStyle w:val="17-tablecontent"/>
              <w:rPr>
                <w:color w:val="auto"/>
                <w:lang w:eastAsia="zh-CN"/>
              </w:rPr>
            </w:pPr>
            <w:r w:rsidRPr="00803DAB">
              <w:rPr>
                <w:color w:val="auto"/>
                <w:lang w:eastAsia="zh-CN"/>
              </w:rPr>
              <w:t>PMMA</w:t>
            </w:r>
          </w:p>
        </w:tc>
        <w:tc>
          <w:tcPr>
            <w:tcW w:w="339" w:type="pct"/>
            <w:tcBorders>
              <w:top w:val="nil"/>
              <w:bottom w:val="single" w:sz="4" w:space="0" w:color="auto"/>
            </w:tcBorders>
            <w:vAlign w:val="center"/>
          </w:tcPr>
          <w:p w14:paraId="62F08BA9" w14:textId="77777777" w:rsidR="009907BA" w:rsidRPr="00803DAB" w:rsidRDefault="009907BA" w:rsidP="00F87A29">
            <w:pPr>
              <w:pStyle w:val="17-tablecontent"/>
              <w:rPr>
                <w:color w:val="auto"/>
                <w:lang w:eastAsia="zh-CN"/>
              </w:rPr>
            </w:pPr>
            <w:r w:rsidRPr="00803DAB">
              <w:rPr>
                <w:color w:val="auto"/>
                <w:lang w:eastAsia="zh-CN"/>
              </w:rPr>
              <w:t>139</w:t>
            </w:r>
          </w:p>
        </w:tc>
        <w:tc>
          <w:tcPr>
            <w:tcW w:w="230" w:type="pct"/>
            <w:tcBorders>
              <w:top w:val="nil"/>
              <w:bottom w:val="single" w:sz="4" w:space="0" w:color="auto"/>
            </w:tcBorders>
            <w:vAlign w:val="center"/>
          </w:tcPr>
          <w:p w14:paraId="412AC3FC" w14:textId="77777777" w:rsidR="009907BA" w:rsidRPr="00803DAB" w:rsidRDefault="009907BA" w:rsidP="00F87A29">
            <w:pPr>
              <w:pStyle w:val="17-tablecontent"/>
              <w:rPr>
                <w:color w:val="auto"/>
                <w:lang w:eastAsia="zh-CN"/>
              </w:rPr>
            </w:pPr>
          </w:p>
        </w:tc>
        <w:tc>
          <w:tcPr>
            <w:tcW w:w="266" w:type="pct"/>
            <w:tcBorders>
              <w:top w:val="nil"/>
              <w:bottom w:val="single" w:sz="4" w:space="0" w:color="auto"/>
            </w:tcBorders>
            <w:vAlign w:val="center"/>
          </w:tcPr>
          <w:p w14:paraId="20AD827A" w14:textId="77777777" w:rsidR="009907BA" w:rsidRPr="00803DAB" w:rsidRDefault="009907BA" w:rsidP="00F87A29">
            <w:pPr>
              <w:pStyle w:val="17-tablecontent"/>
              <w:rPr>
                <w:color w:val="auto"/>
                <w:lang w:eastAsia="zh-CN"/>
              </w:rPr>
            </w:pPr>
          </w:p>
        </w:tc>
        <w:tc>
          <w:tcPr>
            <w:tcW w:w="266" w:type="pct"/>
            <w:tcBorders>
              <w:top w:val="nil"/>
              <w:bottom w:val="single" w:sz="4" w:space="0" w:color="auto"/>
            </w:tcBorders>
            <w:vAlign w:val="center"/>
          </w:tcPr>
          <w:p w14:paraId="3B733353" w14:textId="77777777" w:rsidR="009907BA" w:rsidRPr="00803DAB" w:rsidRDefault="009907BA" w:rsidP="00F87A29">
            <w:pPr>
              <w:pStyle w:val="17-tablecontent"/>
              <w:rPr>
                <w:color w:val="auto"/>
                <w:lang w:eastAsia="zh-CN"/>
              </w:rPr>
            </w:pPr>
          </w:p>
        </w:tc>
        <w:tc>
          <w:tcPr>
            <w:tcW w:w="230" w:type="pct"/>
            <w:tcBorders>
              <w:top w:val="nil"/>
              <w:bottom w:val="single" w:sz="4" w:space="0" w:color="auto"/>
            </w:tcBorders>
            <w:vAlign w:val="center"/>
          </w:tcPr>
          <w:p w14:paraId="4D84C90C" w14:textId="77777777" w:rsidR="009907BA" w:rsidRPr="00803DAB" w:rsidRDefault="009907BA" w:rsidP="00F87A29">
            <w:pPr>
              <w:pStyle w:val="17-tablecontent"/>
              <w:rPr>
                <w:color w:val="auto"/>
                <w:lang w:eastAsia="zh-CN"/>
              </w:rPr>
            </w:pPr>
          </w:p>
        </w:tc>
        <w:tc>
          <w:tcPr>
            <w:tcW w:w="230" w:type="pct"/>
            <w:tcBorders>
              <w:top w:val="nil"/>
              <w:bottom w:val="single" w:sz="4" w:space="0" w:color="auto"/>
            </w:tcBorders>
            <w:vAlign w:val="center"/>
          </w:tcPr>
          <w:p w14:paraId="7A21BFA7" w14:textId="77777777" w:rsidR="009907BA" w:rsidRPr="00803DAB" w:rsidRDefault="009907BA" w:rsidP="00F87A29">
            <w:pPr>
              <w:pStyle w:val="17-tablecontent"/>
              <w:rPr>
                <w:color w:val="auto"/>
                <w:lang w:eastAsia="zh-CN"/>
              </w:rPr>
            </w:pPr>
          </w:p>
        </w:tc>
        <w:tc>
          <w:tcPr>
            <w:tcW w:w="230" w:type="pct"/>
            <w:tcBorders>
              <w:top w:val="nil"/>
              <w:bottom w:val="single" w:sz="4" w:space="0" w:color="auto"/>
            </w:tcBorders>
            <w:vAlign w:val="center"/>
          </w:tcPr>
          <w:p w14:paraId="7BC251E4" w14:textId="77777777" w:rsidR="009907BA" w:rsidRPr="00803DAB" w:rsidRDefault="009907BA" w:rsidP="00F87A29">
            <w:pPr>
              <w:pStyle w:val="17-tablecontent"/>
              <w:rPr>
                <w:color w:val="auto"/>
                <w:lang w:eastAsia="zh-CN"/>
              </w:rPr>
            </w:pPr>
          </w:p>
        </w:tc>
        <w:tc>
          <w:tcPr>
            <w:tcW w:w="230" w:type="pct"/>
            <w:tcBorders>
              <w:top w:val="nil"/>
              <w:bottom w:val="single" w:sz="4" w:space="0" w:color="auto"/>
            </w:tcBorders>
            <w:vAlign w:val="center"/>
          </w:tcPr>
          <w:p w14:paraId="68CC8B24" w14:textId="77777777" w:rsidR="009907BA" w:rsidRPr="00803DAB" w:rsidRDefault="009907BA" w:rsidP="00F87A29">
            <w:pPr>
              <w:pStyle w:val="17-tablecontent"/>
              <w:rPr>
                <w:color w:val="auto"/>
                <w:lang w:eastAsia="zh-CN"/>
              </w:rPr>
            </w:pPr>
          </w:p>
        </w:tc>
        <w:tc>
          <w:tcPr>
            <w:tcW w:w="230" w:type="pct"/>
            <w:tcBorders>
              <w:top w:val="nil"/>
              <w:bottom w:val="single" w:sz="4" w:space="0" w:color="auto"/>
            </w:tcBorders>
            <w:vAlign w:val="center"/>
          </w:tcPr>
          <w:p w14:paraId="0A02D2E7" w14:textId="77777777" w:rsidR="009907BA" w:rsidRPr="00803DAB" w:rsidRDefault="009907BA" w:rsidP="00F87A29">
            <w:pPr>
              <w:pStyle w:val="17-tablecontent"/>
              <w:rPr>
                <w:color w:val="auto"/>
                <w:lang w:eastAsia="zh-CN"/>
              </w:rPr>
            </w:pPr>
            <w:r w:rsidRPr="00803DAB">
              <w:rPr>
                <w:color w:val="auto"/>
                <w:lang w:eastAsia="zh-CN"/>
              </w:rPr>
              <w:t>0.31</w:t>
            </w:r>
          </w:p>
        </w:tc>
        <w:tc>
          <w:tcPr>
            <w:tcW w:w="230" w:type="pct"/>
            <w:tcBorders>
              <w:top w:val="nil"/>
              <w:left w:val="nil"/>
              <w:bottom w:val="single" w:sz="4" w:space="0" w:color="auto"/>
              <w:right w:val="nil"/>
            </w:tcBorders>
            <w:shd w:val="clear" w:color="auto" w:fill="auto"/>
            <w:vAlign w:val="center"/>
          </w:tcPr>
          <w:p w14:paraId="29618DD5" w14:textId="77777777" w:rsidR="009907BA" w:rsidRPr="00803DAB" w:rsidRDefault="009907BA" w:rsidP="00F87A29">
            <w:pPr>
              <w:pStyle w:val="17-tablecontent"/>
              <w:rPr>
                <w:color w:val="auto"/>
                <w:lang w:eastAsia="zh-CN"/>
              </w:rPr>
            </w:pPr>
          </w:p>
        </w:tc>
        <w:tc>
          <w:tcPr>
            <w:tcW w:w="230" w:type="pct"/>
            <w:tcBorders>
              <w:top w:val="nil"/>
              <w:left w:val="nil"/>
              <w:bottom w:val="single" w:sz="4" w:space="0" w:color="auto"/>
              <w:right w:val="nil"/>
            </w:tcBorders>
            <w:shd w:val="clear" w:color="auto" w:fill="auto"/>
            <w:vAlign w:val="center"/>
          </w:tcPr>
          <w:p w14:paraId="1E8AFAC6" w14:textId="77777777" w:rsidR="009907BA" w:rsidRPr="00803DAB" w:rsidRDefault="009907BA" w:rsidP="00F87A29">
            <w:pPr>
              <w:pStyle w:val="17-tablecontent"/>
              <w:rPr>
                <w:color w:val="auto"/>
                <w:lang w:eastAsia="zh-CN"/>
              </w:rPr>
            </w:pPr>
            <w:r w:rsidRPr="00803DAB">
              <w:rPr>
                <w:color w:val="auto"/>
                <w:lang w:eastAsia="zh-CN"/>
              </w:rPr>
              <w:t>0.20</w:t>
            </w:r>
          </w:p>
        </w:tc>
        <w:tc>
          <w:tcPr>
            <w:tcW w:w="230" w:type="pct"/>
            <w:tcBorders>
              <w:top w:val="nil"/>
              <w:left w:val="nil"/>
              <w:bottom w:val="single" w:sz="4" w:space="0" w:color="auto"/>
              <w:right w:val="nil"/>
            </w:tcBorders>
            <w:shd w:val="clear" w:color="auto" w:fill="auto"/>
            <w:vAlign w:val="center"/>
          </w:tcPr>
          <w:p w14:paraId="54C341F7" w14:textId="77777777" w:rsidR="009907BA" w:rsidRPr="00803DAB" w:rsidRDefault="009907BA" w:rsidP="00F87A29">
            <w:pPr>
              <w:pStyle w:val="17-tablecontent"/>
              <w:rPr>
                <w:color w:val="auto"/>
                <w:lang w:eastAsia="zh-CN"/>
              </w:rPr>
            </w:pPr>
            <w:r w:rsidRPr="00803DAB">
              <w:rPr>
                <w:color w:val="auto"/>
                <w:lang w:eastAsia="zh-CN"/>
              </w:rPr>
              <w:t>0.19</w:t>
            </w:r>
          </w:p>
        </w:tc>
        <w:tc>
          <w:tcPr>
            <w:tcW w:w="230" w:type="pct"/>
            <w:tcBorders>
              <w:top w:val="nil"/>
              <w:left w:val="nil"/>
              <w:bottom w:val="single" w:sz="4" w:space="0" w:color="auto"/>
              <w:right w:val="nil"/>
            </w:tcBorders>
            <w:shd w:val="clear" w:color="auto" w:fill="auto"/>
            <w:vAlign w:val="center"/>
          </w:tcPr>
          <w:p w14:paraId="61C677DF" w14:textId="77777777" w:rsidR="009907BA" w:rsidRPr="00803DAB" w:rsidRDefault="009907BA" w:rsidP="00F87A29">
            <w:pPr>
              <w:pStyle w:val="17-tablecontent"/>
              <w:rPr>
                <w:color w:val="auto"/>
                <w:lang w:eastAsia="zh-CN"/>
              </w:rPr>
            </w:pPr>
            <w:r w:rsidRPr="00803DAB">
              <w:rPr>
                <w:color w:val="auto"/>
                <w:lang w:eastAsia="zh-CN"/>
              </w:rPr>
              <w:t>0.24</w:t>
            </w:r>
          </w:p>
        </w:tc>
        <w:tc>
          <w:tcPr>
            <w:tcW w:w="230" w:type="pct"/>
            <w:tcBorders>
              <w:top w:val="nil"/>
              <w:left w:val="nil"/>
              <w:bottom w:val="single" w:sz="4" w:space="0" w:color="auto"/>
              <w:right w:val="nil"/>
            </w:tcBorders>
            <w:shd w:val="clear" w:color="auto" w:fill="auto"/>
            <w:vAlign w:val="center"/>
          </w:tcPr>
          <w:p w14:paraId="15F1895F" w14:textId="77777777" w:rsidR="009907BA" w:rsidRPr="00803DAB" w:rsidRDefault="009907BA" w:rsidP="00F87A29">
            <w:pPr>
              <w:pStyle w:val="17-tablecontent"/>
              <w:rPr>
                <w:color w:val="auto"/>
                <w:lang w:eastAsia="zh-CN"/>
              </w:rPr>
            </w:pPr>
            <w:r w:rsidRPr="00803DAB">
              <w:rPr>
                <w:color w:val="auto"/>
                <w:lang w:eastAsia="zh-CN"/>
              </w:rPr>
              <w:t>0.43</w:t>
            </w:r>
          </w:p>
        </w:tc>
        <w:tc>
          <w:tcPr>
            <w:tcW w:w="230" w:type="pct"/>
            <w:tcBorders>
              <w:top w:val="nil"/>
              <w:left w:val="nil"/>
              <w:bottom w:val="single" w:sz="4" w:space="0" w:color="auto"/>
              <w:right w:val="nil"/>
            </w:tcBorders>
            <w:shd w:val="clear" w:color="auto" w:fill="auto"/>
            <w:vAlign w:val="center"/>
          </w:tcPr>
          <w:p w14:paraId="6E2FAF71" w14:textId="77777777" w:rsidR="009907BA" w:rsidRPr="00803DAB" w:rsidRDefault="009907BA" w:rsidP="00F87A29">
            <w:pPr>
              <w:pStyle w:val="17-tablecontent"/>
              <w:rPr>
                <w:color w:val="auto"/>
                <w:lang w:eastAsia="zh-CN"/>
              </w:rPr>
            </w:pPr>
          </w:p>
        </w:tc>
        <w:tc>
          <w:tcPr>
            <w:tcW w:w="782" w:type="pct"/>
            <w:tcBorders>
              <w:top w:val="nil"/>
              <w:bottom w:val="single" w:sz="4" w:space="0" w:color="auto"/>
            </w:tcBorders>
            <w:vAlign w:val="center"/>
          </w:tcPr>
          <w:p w14:paraId="366A6927" w14:textId="00329B60" w:rsidR="009907BA" w:rsidRPr="00803DAB" w:rsidRDefault="009907BA" w:rsidP="00F87A29">
            <w:pPr>
              <w:pStyle w:val="17-tablecontent"/>
              <w:rPr>
                <w:color w:val="auto"/>
                <w:lang w:eastAsia="zh-CN"/>
              </w:rPr>
            </w:pPr>
            <w:r w:rsidRPr="00803DAB">
              <w:rPr>
                <w:color w:val="auto"/>
                <w:lang w:eastAsia="zh-CN"/>
              </w:rPr>
              <w:fldChar w:fldCharType="begin" w:fldLock="1"/>
            </w:r>
            <w:r w:rsidR="0087279A">
              <w:rPr>
                <w:color w:val="auto"/>
                <w:lang w:eastAsia="zh-CN"/>
              </w:rPr>
              <w:instrText>ADDIN CSL_CITATION {"citationItems":[{"id":"ITEM-1","itemData":{"DOI":"10.1016/j.ijsolstr.2010.12.001","ISSN":"00207683","abstract":"This study presents crack initiation, propagation and coalescence at or near pre-existing open cracks or flaws in a specimen under uniaxial compression. The flaw geometry in the specimen was a combination of a horizontal flaw and an inclined flaw underneath. This flaw geometry is different from those reported in the previous studies, where a pair of parallel flaws was used. Three materials were used, PMMA (Poly Methyl MethAcrylate), Diastone (types of molded gypsum), and Hwangdeung granite. Crack initiation and propagation showed similar and different patterns depending on the material. In PMMA, tensile cracks initiated at the flaw tips and propagated to the tip of the other flaw in the bridge area. The cracks then coalesced at a point of the inclined flaw, which is affected by the flaw inclination angle. For Diastone and Hwangdeung granite, tensile cracks were observed followed by the initiation of shear cracks. Coalescence occurred mainly through the tensile cracks or tensile and shear cracks. Crack coalescence was classified according to the crack coalescence types of parallel flaws for overlapping flaw geometry in the past works. In addition, crack initiation and coalescence stresses in the double-flawed specimens were analyzed and compared with those in the single-flawed specimen. Numerical simulations using PFC2D (Particle Flow Code in two dimensions) based on the DEM (Discrete Element Method) were carried out and showed a good agreement with the experimental results in the coalescence characteristics in Hwangdeung granite. These experimental and numerical results are expected to improve the understanding of the characteristics of cracking and crack coalescence and can be used to analyze the stability of rock and rock structures, such as the excavated underground openings or slopes, tunneling construction, where pre-existing cracks or fractures play a crucial role in the overall integrity of such structures. © 2010 Elsevier Ltd. All rights reserved.","author":[{"dropping-particle":"","family":"Lee","given":"Heekwang","non-dropping-particle":"","parse-names":false,"suffix":""},{"dropping-particle":"","family":"Jeon","given":"Seokwon","non-dropping-particle":"","parse-names":false,"suffix":""}],"container-title":"International Journal of Solids and Structures","id":"ITEM-1","issue":"6","issued":{"date-parts":[["2011"]]},"page":"979-999","publisher":"Elsevier Ltd","title":"An experimental and numerical study of fracture coalescence in pre-cracked specimens under uniaxial compression","type":"article-journal","volume":"48"},"uris":["http://www.mendeley.com/documents/?uuid=411ebc44-24c4-41b3-b13a-07a36ef431cc"]}],"mendeley":{"formattedCitation":"(Lee and Jeon, 2011)","manualFormatting":"Lee and Jeon (2011","plainTextFormattedCitation":"(Lee and Jeon, 2011)","previouslyFormattedCitation":"(Lee and Jeon 2011)"},"properties":{"noteIndex":0},"schema":"https://github.com/citation-style-language/schema/raw/master/csl-citation.json"}</w:instrText>
            </w:r>
            <w:r w:rsidRPr="00803DAB">
              <w:rPr>
                <w:color w:val="auto"/>
                <w:lang w:eastAsia="zh-CN"/>
              </w:rPr>
              <w:fldChar w:fldCharType="separate"/>
            </w:r>
            <w:r w:rsidRPr="00803DAB">
              <w:rPr>
                <w:noProof/>
                <w:color w:val="auto"/>
                <w:lang w:eastAsia="zh-CN"/>
              </w:rPr>
              <w:t>Lee and Jeon (2011</w:t>
            </w:r>
            <w:r w:rsidRPr="00803DAB">
              <w:rPr>
                <w:color w:val="auto"/>
                <w:lang w:eastAsia="zh-CN"/>
              </w:rPr>
              <w:fldChar w:fldCharType="end"/>
            </w:r>
            <w:r w:rsidRPr="00803DAB">
              <w:rPr>
                <w:color w:val="auto"/>
                <w:lang w:eastAsia="zh-CN"/>
              </w:rPr>
              <w:t>)</w:t>
            </w:r>
          </w:p>
        </w:tc>
      </w:tr>
    </w:tbl>
    <w:p w14:paraId="56F93D89" w14:textId="77777777" w:rsidR="009907BA" w:rsidRPr="002F4E1A" w:rsidRDefault="009907BA" w:rsidP="009907BA">
      <w:pPr>
        <w:pStyle w:val="11-maintext"/>
        <w:ind w:firstLine="320"/>
        <w:rPr>
          <w:rFonts w:ascii="Times New Roman" w:eastAsia="DengXian" w:hAnsi="Times New Roman"/>
          <w:color w:val="auto"/>
          <w:lang w:eastAsia="zh-CN"/>
        </w:rPr>
      </w:pPr>
    </w:p>
    <w:p w14:paraId="70D51737" w14:textId="4F560209" w:rsidR="0087279A" w:rsidRPr="002F4E1A" w:rsidRDefault="009907B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hAnsi="Times New Roman" w:cs="Times New Roman"/>
        </w:rPr>
        <w:fldChar w:fldCharType="begin" w:fldLock="1"/>
      </w:r>
      <w:r w:rsidRPr="002F4E1A">
        <w:rPr>
          <w:rFonts w:ascii="Times New Roman" w:hAnsi="Times New Roman" w:cs="Times New Roman"/>
        </w:rPr>
        <w:instrText xml:space="preserve">ADDIN Mendeley Bibliography CSL_BIBLIOGRAPHY </w:instrText>
      </w:r>
      <w:r w:rsidRPr="002F4E1A">
        <w:rPr>
          <w:rFonts w:ascii="Times New Roman" w:hAnsi="Times New Roman" w:cs="Times New Roman"/>
        </w:rPr>
        <w:fldChar w:fldCharType="separate"/>
      </w:r>
      <w:r w:rsidR="0087279A" w:rsidRPr="002F4E1A">
        <w:rPr>
          <w:rFonts w:ascii="Times New Roman" w:eastAsia="DengXian" w:hAnsi="Times New Roman" w:cs="Times New Roman"/>
          <w:noProof/>
          <w:kern w:val="0"/>
          <w:sz w:val="20"/>
          <w:szCs w:val="24"/>
        </w:rPr>
        <w:t>Jin, J., Cao, P., Chen, Y., et al., 2017. Influence of single flaw on the failure process and energy mechanics of rock-like material. Comput. Geotech. (86), 150–162.</w:t>
      </w:r>
    </w:p>
    <w:p w14:paraId="39E89104"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Lee, H., Jeon, S., 2011. An experimental and numerical study of fracture coalescence in pre-cracked specimens under uniaxial compression. Int. J. Solids Struct. (48), 979–999.</w:t>
      </w:r>
    </w:p>
    <w:p w14:paraId="2A101FFE"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Li, D., Wang, E., Kong, X., Ali, M., Wang, D., 2019a. Mechanical behaviors and acoustic emission fractal characteristics of coal specimens with a pre-existing flaw of various inclinations under uniaxial compression. Int. J. Rock Mech. Min. Sci. (116), 38–51.</w:t>
      </w:r>
    </w:p>
    <w:p w14:paraId="47A82F6F"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Li, S., Zhang, D., Bai, X., et al., 2019b. Experimental Study on Mechanical Properties, Acoustic Emission Energies and Failure Modes of Pre-cracked Rock Materials under Uniaxial Compression. Pure Appl. Geophys. (176), 4519–4532.</w:t>
      </w:r>
    </w:p>
    <w:p w14:paraId="1A309F33"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Lin, H., Yang, H., Wang, Y., Zhao, Y., Cao, R., 2019. Determination of the stress field and crack initiation angle of an open flaw tip under uniaxial compression. Theor. Appl. Fract. Mech. (104), 102358.</w:t>
      </w:r>
    </w:p>
    <w:p w14:paraId="56583441"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Liu, L., Li, H., Li, X., Wu, R., 2020. Full-field strain evolution and characteristic stress levels of rocks containing a single pre-existing flaw under uniaxial compression. Bull. Eng. Geol. Environ. (79), 3145–3161.</w:t>
      </w:r>
    </w:p>
    <w:p w14:paraId="10D97B75"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Miao, S., Pan, P.Z., Wu, Z., Li, S., Zhao, S., 2018. Fracture analysis of sandstone with a single filled flaw under uniaxial compression. Eng. Fract. Mech. (204), 319–343.</w:t>
      </w:r>
    </w:p>
    <w:p w14:paraId="0261E2D1"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Wong, L.N.Y., Einstein, H., 2006. Fracturing behavior of prismatic specimens containing single flaws. In: Proceedings of the 41st U.S. Rock Mechanics Symposium - ARMA’s Golden Rocks 2006 - 50 Years of Rock Mechanics</w:t>
      </w:r>
    </w:p>
    <w:p w14:paraId="00471EF5"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Yang, S.Q., Huang, Y.H., Tian, W.L., Yin, P.F., Jing, H.W., 2019. Effect of High Temperature on Deformation Failure Behavior of Granite Specimen Containing a Single Fissure Under Uniaxial Compression. Rock Mech. Rock Eng. (52), 2087–2107.</w:t>
      </w:r>
    </w:p>
    <w:p w14:paraId="437B44DE"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Yang, S.Q., Jing, H.W., 2011. Strength failure and crack coalescence behavior of brittle sandstone samples containing a single fissure under uniaxial compression. Int. J. Fract. (168), 227–250.</w:t>
      </w:r>
    </w:p>
    <w:p w14:paraId="6B0DDB65"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Zhao, C., Niu, J., Zhang, Q., Zhao, C., Zhou, Y., 2019. Failure characteristics of rock-like materials with single flaws under uniaxial compression. Bull. Eng. Geol. Environ. (78), 593–603.</w:t>
      </w:r>
    </w:p>
    <w:p w14:paraId="0DA6B113"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kern w:val="0"/>
          <w:sz w:val="20"/>
          <w:szCs w:val="24"/>
        </w:rPr>
      </w:pPr>
      <w:r w:rsidRPr="002F4E1A">
        <w:rPr>
          <w:rFonts w:ascii="Times New Roman" w:eastAsia="DengXian" w:hAnsi="Times New Roman" w:cs="Times New Roman"/>
          <w:noProof/>
          <w:kern w:val="0"/>
          <w:sz w:val="20"/>
          <w:szCs w:val="24"/>
        </w:rPr>
        <w:t>Zhu, T., Jing, H., Su, H., et al., 2016. Physical and mechanical properties of sandstone containing a single fissure after exposure to high temperatures. Int. J. Min. Sci. Technol. (26), 319–325.</w:t>
      </w:r>
    </w:p>
    <w:p w14:paraId="4EE3D149" w14:textId="77777777" w:rsidR="0087279A" w:rsidRPr="002F4E1A" w:rsidRDefault="0087279A" w:rsidP="0087279A">
      <w:pPr>
        <w:autoSpaceDE w:val="0"/>
        <w:autoSpaceDN w:val="0"/>
        <w:adjustRightInd w:val="0"/>
        <w:ind w:left="480" w:hanging="480"/>
        <w:jc w:val="left"/>
        <w:rPr>
          <w:rFonts w:ascii="Times New Roman" w:eastAsia="DengXian" w:hAnsi="Times New Roman" w:cs="Times New Roman"/>
          <w:noProof/>
          <w:sz w:val="20"/>
        </w:rPr>
      </w:pPr>
      <w:r w:rsidRPr="002F4E1A">
        <w:rPr>
          <w:rFonts w:ascii="Times New Roman" w:eastAsia="DengXian" w:hAnsi="Times New Roman" w:cs="Times New Roman"/>
          <w:noProof/>
          <w:kern w:val="0"/>
          <w:sz w:val="20"/>
          <w:szCs w:val="24"/>
        </w:rPr>
        <w:t>Zhuang, X., Chun, J., Zhu, H., 2014. A comparative study on unfilled and filled crack propagation for rock-like brittle material. Theor. Appl. Fract. Mech. (72), 110–120.</w:t>
      </w:r>
    </w:p>
    <w:p w14:paraId="4BDE8FF0" w14:textId="2BCB4432" w:rsidR="00235E24" w:rsidRDefault="009907BA">
      <w:r w:rsidRPr="002F4E1A">
        <w:rPr>
          <w:rFonts w:ascii="Times New Roman" w:hAnsi="Times New Roman" w:cs="Times New Roman"/>
        </w:rPr>
        <w:fldChar w:fldCharType="end"/>
      </w:r>
    </w:p>
    <w:sectPr w:rsidR="00235E24" w:rsidSect="009907BA">
      <w:pgSz w:w="11907" w:h="16839" w:code="9"/>
      <w:pgMar w:top="1247" w:right="1049" w:bottom="1247" w:left="1106" w:header="85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38B2" w14:textId="77777777" w:rsidR="00467BBF" w:rsidRDefault="00467BBF">
      <w:r>
        <w:separator/>
      </w:r>
    </w:p>
  </w:endnote>
  <w:endnote w:type="continuationSeparator" w:id="0">
    <w:p w14:paraId="423E5766" w14:textId="77777777" w:rsidR="00467BBF" w:rsidRDefault="0046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liver-Regular">
    <w:altName w:val="Cambria"/>
    <w:panose1 w:val="00000000000000000000"/>
    <w:charset w:val="00"/>
    <w:family w:val="roman"/>
    <w:notTrueType/>
    <w:pitch w:val="variable"/>
    <w:sig w:usb0="800000AF" w:usb1="4000204A"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DA054" w14:textId="77777777" w:rsidR="00467BBF" w:rsidRDefault="00467BBF">
      <w:r>
        <w:separator/>
      </w:r>
    </w:p>
  </w:footnote>
  <w:footnote w:type="continuationSeparator" w:id="0">
    <w:p w14:paraId="4B860A0C" w14:textId="77777777" w:rsidR="00467BBF" w:rsidRDefault="0046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341"/>
    <w:multiLevelType w:val="hybridMultilevel"/>
    <w:tmpl w:val="6366C438"/>
    <w:lvl w:ilvl="0" w:tplc="524E05A8">
      <w:numFmt w:val="bullet"/>
      <w:lvlText w:val=""/>
      <w:lvlJc w:val="left"/>
      <w:pPr>
        <w:ind w:left="720" w:hanging="360"/>
      </w:pPr>
      <w:rPr>
        <w:rFonts w:ascii="Symbol" w:eastAsiaTheme="minorHAnsi" w:hAnsi="Symbol"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C7BC2"/>
    <w:multiLevelType w:val="hybridMultilevel"/>
    <w:tmpl w:val="27DC891E"/>
    <w:lvl w:ilvl="0" w:tplc="322E5E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38C6"/>
    <w:multiLevelType w:val="hybridMultilevel"/>
    <w:tmpl w:val="64EE7B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1A7F3A"/>
    <w:multiLevelType w:val="hybridMultilevel"/>
    <w:tmpl w:val="347851DE"/>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443644"/>
    <w:multiLevelType w:val="multilevel"/>
    <w:tmpl w:val="74EC1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DC1026"/>
    <w:multiLevelType w:val="hybridMultilevel"/>
    <w:tmpl w:val="69C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74602"/>
    <w:multiLevelType w:val="hybridMultilevel"/>
    <w:tmpl w:val="E1F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326B5"/>
    <w:multiLevelType w:val="hybridMultilevel"/>
    <w:tmpl w:val="684466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D343E6"/>
    <w:multiLevelType w:val="hybridMultilevel"/>
    <w:tmpl w:val="C38C8D40"/>
    <w:lvl w:ilvl="0" w:tplc="04090001">
      <w:start w:val="1"/>
      <w:numFmt w:val="bullet"/>
      <w:pStyle w:val="20-items"/>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980067"/>
    <w:multiLevelType w:val="hybridMultilevel"/>
    <w:tmpl w:val="21D66C70"/>
    <w:lvl w:ilvl="0" w:tplc="F976B10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1856E04"/>
    <w:multiLevelType w:val="hybridMultilevel"/>
    <w:tmpl w:val="CE00655C"/>
    <w:lvl w:ilvl="0" w:tplc="A044F45C">
      <w:start w:val="1"/>
      <w:numFmt w:val="decimal"/>
      <w:lvlText w:val="(%1)"/>
      <w:lvlJc w:val="left"/>
      <w:pPr>
        <w:ind w:left="740" w:hanging="420"/>
      </w:pPr>
      <w:rPr>
        <w:rFonts w:hint="eastAsia"/>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15:restartNumberingAfterBreak="0">
    <w:nsid w:val="619D093A"/>
    <w:multiLevelType w:val="multilevel"/>
    <w:tmpl w:val="F3F6E0B8"/>
    <w:lvl w:ilvl="0">
      <w:start w:val="1"/>
      <w:numFmt w:val="decimal"/>
      <w:pStyle w:val="08-section"/>
      <w:lvlText w:val="%1."/>
      <w:lvlJc w:val="left"/>
      <w:pPr>
        <w:ind w:left="780" w:hanging="420"/>
      </w:pPr>
      <w:rPr>
        <w:rFonts w:hint="default"/>
      </w:rPr>
    </w:lvl>
    <w:lvl w:ilvl="1">
      <w:start w:val="1"/>
      <w:numFmt w:val="decimal"/>
      <w:pStyle w:val="09-subsection"/>
      <w:isLgl/>
      <w:lvlText w:val="%1.%2."/>
      <w:lvlJc w:val="left"/>
      <w:pPr>
        <w:ind w:left="720" w:hanging="360"/>
      </w:pPr>
      <w:rPr>
        <w:rFonts w:hint="default"/>
      </w:rPr>
    </w:lvl>
    <w:lvl w:ilvl="2">
      <w:start w:val="1"/>
      <w:numFmt w:val="decimal"/>
      <w:pStyle w:val="10-subsubsection"/>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67062E21"/>
    <w:multiLevelType w:val="hybridMultilevel"/>
    <w:tmpl w:val="C7B4F4E4"/>
    <w:lvl w:ilvl="0" w:tplc="970C3D74">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E40C60"/>
    <w:multiLevelType w:val="hybridMultilevel"/>
    <w:tmpl w:val="09F2F644"/>
    <w:lvl w:ilvl="0" w:tplc="E9C0E7F4">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4" w15:restartNumberingAfterBreak="0">
    <w:nsid w:val="6E3F2E96"/>
    <w:multiLevelType w:val="hybridMultilevel"/>
    <w:tmpl w:val="6E52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9"/>
  </w:num>
  <w:num w:numId="5">
    <w:abstractNumId w:val="4"/>
  </w:num>
  <w:num w:numId="6">
    <w:abstractNumId w:val="6"/>
  </w:num>
  <w:num w:numId="7">
    <w:abstractNumId w:val="1"/>
  </w:num>
  <w:num w:numId="8">
    <w:abstractNumId w:val="11"/>
  </w:num>
  <w:num w:numId="9">
    <w:abstractNumId w:val="2"/>
  </w:num>
  <w:num w:numId="10">
    <w:abstractNumId w:val="12"/>
  </w:num>
  <w:num w:numId="11">
    <w:abstractNumId w:val="8"/>
  </w:num>
  <w:num w:numId="12">
    <w:abstractNumId w:val="3"/>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B0"/>
    <w:rsid w:val="00131190"/>
    <w:rsid w:val="001F73A2"/>
    <w:rsid w:val="00235AB3"/>
    <w:rsid w:val="00235E24"/>
    <w:rsid w:val="002F4E1A"/>
    <w:rsid w:val="00462EB0"/>
    <w:rsid w:val="00467BBF"/>
    <w:rsid w:val="0087279A"/>
    <w:rsid w:val="009907BA"/>
    <w:rsid w:val="009D0913"/>
    <w:rsid w:val="00CC7E58"/>
    <w:rsid w:val="00E6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E59D"/>
  <w15:chartTrackingRefBased/>
  <w15:docId w15:val="{20E08C68-1BA4-41C5-BC81-9722B006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7BA"/>
    <w:rPr>
      <w:color w:val="808080"/>
    </w:rPr>
  </w:style>
  <w:style w:type="paragraph" w:styleId="Header">
    <w:name w:val="header"/>
    <w:basedOn w:val="Normal"/>
    <w:link w:val="HeaderChar"/>
    <w:uiPriority w:val="99"/>
    <w:unhideWhenUsed/>
    <w:rsid w:val="009907BA"/>
    <w:pPr>
      <w:widowControl/>
      <w:tabs>
        <w:tab w:val="center" w:pos="4320"/>
        <w:tab w:val="right" w:pos="8640"/>
      </w:tabs>
      <w:jc w:val="left"/>
    </w:pPr>
    <w:rPr>
      <w:kern w:val="0"/>
      <w:sz w:val="22"/>
      <w:lang w:eastAsia="en-US"/>
    </w:rPr>
  </w:style>
  <w:style w:type="character" w:customStyle="1" w:styleId="HeaderChar">
    <w:name w:val="Header Char"/>
    <w:basedOn w:val="DefaultParagraphFont"/>
    <w:link w:val="Header"/>
    <w:uiPriority w:val="99"/>
    <w:rsid w:val="009907BA"/>
    <w:rPr>
      <w:kern w:val="0"/>
      <w:sz w:val="22"/>
      <w:lang w:eastAsia="en-US"/>
    </w:rPr>
  </w:style>
  <w:style w:type="paragraph" w:styleId="Footer">
    <w:name w:val="footer"/>
    <w:basedOn w:val="Normal"/>
    <w:link w:val="FooterChar"/>
    <w:uiPriority w:val="99"/>
    <w:unhideWhenUsed/>
    <w:rsid w:val="009907BA"/>
    <w:pPr>
      <w:widowControl/>
      <w:tabs>
        <w:tab w:val="center" w:pos="4320"/>
        <w:tab w:val="right" w:pos="8640"/>
      </w:tabs>
      <w:jc w:val="left"/>
    </w:pPr>
    <w:rPr>
      <w:kern w:val="0"/>
      <w:sz w:val="22"/>
      <w:lang w:eastAsia="en-US"/>
    </w:rPr>
  </w:style>
  <w:style w:type="character" w:customStyle="1" w:styleId="FooterChar">
    <w:name w:val="Footer Char"/>
    <w:basedOn w:val="DefaultParagraphFont"/>
    <w:link w:val="Footer"/>
    <w:uiPriority w:val="99"/>
    <w:rsid w:val="009907BA"/>
    <w:rPr>
      <w:kern w:val="0"/>
      <w:sz w:val="22"/>
      <w:lang w:eastAsia="en-US"/>
    </w:rPr>
  </w:style>
  <w:style w:type="paragraph" w:styleId="BalloonText">
    <w:name w:val="Balloon Text"/>
    <w:basedOn w:val="Normal"/>
    <w:link w:val="BalloonTextChar"/>
    <w:uiPriority w:val="99"/>
    <w:semiHidden/>
    <w:unhideWhenUsed/>
    <w:rsid w:val="009907BA"/>
    <w:pPr>
      <w:widowControl/>
      <w:jc w:val="left"/>
    </w:pPr>
    <w:rPr>
      <w:rFonts w:ascii="Segoe UI" w:hAnsi="Segoe UI" w:cs="Segoe UI"/>
      <w:kern w:val="0"/>
      <w:sz w:val="18"/>
      <w:szCs w:val="18"/>
      <w:lang w:eastAsia="en-US"/>
    </w:rPr>
  </w:style>
  <w:style w:type="character" w:customStyle="1" w:styleId="BalloonTextChar">
    <w:name w:val="Balloon Text Char"/>
    <w:basedOn w:val="DefaultParagraphFont"/>
    <w:link w:val="BalloonText"/>
    <w:uiPriority w:val="99"/>
    <w:semiHidden/>
    <w:rsid w:val="009907BA"/>
    <w:rPr>
      <w:rFonts w:ascii="Segoe UI" w:hAnsi="Segoe UI" w:cs="Segoe UI"/>
      <w:kern w:val="0"/>
      <w:sz w:val="18"/>
      <w:szCs w:val="18"/>
      <w:lang w:eastAsia="en-US"/>
    </w:rPr>
  </w:style>
  <w:style w:type="character" w:styleId="CommentReference">
    <w:name w:val="annotation reference"/>
    <w:basedOn w:val="DefaultParagraphFont"/>
    <w:uiPriority w:val="99"/>
    <w:semiHidden/>
    <w:unhideWhenUsed/>
    <w:rsid w:val="009907BA"/>
    <w:rPr>
      <w:sz w:val="16"/>
      <w:szCs w:val="16"/>
    </w:rPr>
  </w:style>
  <w:style w:type="paragraph" w:styleId="CommentText">
    <w:name w:val="annotation text"/>
    <w:basedOn w:val="Normal"/>
    <w:link w:val="CommentTextChar"/>
    <w:uiPriority w:val="99"/>
    <w:unhideWhenUsed/>
    <w:qFormat/>
    <w:rsid w:val="009907BA"/>
    <w:pPr>
      <w:widowControl/>
      <w:spacing w:after="160"/>
      <w:jc w:val="left"/>
    </w:pPr>
    <w:rPr>
      <w:kern w:val="0"/>
      <w:sz w:val="20"/>
      <w:szCs w:val="20"/>
      <w:lang w:eastAsia="en-US"/>
    </w:rPr>
  </w:style>
  <w:style w:type="character" w:customStyle="1" w:styleId="CommentTextChar">
    <w:name w:val="Comment Text Char"/>
    <w:basedOn w:val="DefaultParagraphFont"/>
    <w:link w:val="CommentText"/>
    <w:uiPriority w:val="99"/>
    <w:qFormat/>
    <w:rsid w:val="009907BA"/>
    <w:rPr>
      <w:kern w:val="0"/>
      <w:sz w:val="20"/>
      <w:szCs w:val="20"/>
      <w:lang w:eastAsia="en-US"/>
    </w:rPr>
  </w:style>
  <w:style w:type="paragraph" w:styleId="CommentSubject">
    <w:name w:val="annotation subject"/>
    <w:basedOn w:val="CommentText"/>
    <w:next w:val="CommentText"/>
    <w:link w:val="CommentSubjectChar"/>
    <w:uiPriority w:val="99"/>
    <w:semiHidden/>
    <w:unhideWhenUsed/>
    <w:rsid w:val="009907BA"/>
    <w:rPr>
      <w:b/>
      <w:bCs/>
    </w:rPr>
  </w:style>
  <w:style w:type="character" w:customStyle="1" w:styleId="CommentSubjectChar">
    <w:name w:val="Comment Subject Char"/>
    <w:basedOn w:val="CommentTextChar"/>
    <w:link w:val="CommentSubject"/>
    <w:uiPriority w:val="99"/>
    <w:semiHidden/>
    <w:rsid w:val="009907BA"/>
    <w:rPr>
      <w:b/>
      <w:bCs/>
      <w:kern w:val="0"/>
      <w:sz w:val="20"/>
      <w:szCs w:val="20"/>
      <w:lang w:eastAsia="en-US"/>
    </w:rPr>
  </w:style>
  <w:style w:type="character" w:styleId="Emphasis">
    <w:name w:val="Emphasis"/>
    <w:basedOn w:val="DefaultParagraphFont"/>
    <w:uiPriority w:val="20"/>
    <w:qFormat/>
    <w:rsid w:val="009907BA"/>
    <w:rPr>
      <w:i/>
      <w:iCs/>
    </w:rPr>
  </w:style>
  <w:style w:type="paragraph" w:styleId="Revision">
    <w:name w:val="Revision"/>
    <w:hidden/>
    <w:uiPriority w:val="99"/>
    <w:semiHidden/>
    <w:rsid w:val="009907BA"/>
    <w:rPr>
      <w:kern w:val="0"/>
      <w:sz w:val="22"/>
      <w:lang w:eastAsia="en-US"/>
    </w:rPr>
  </w:style>
  <w:style w:type="character" w:styleId="Hyperlink">
    <w:name w:val="Hyperlink"/>
    <w:basedOn w:val="DefaultParagraphFont"/>
    <w:unhideWhenUsed/>
    <w:rsid w:val="009907BA"/>
    <w:rPr>
      <w:color w:val="0563C1" w:themeColor="hyperlink"/>
      <w:u w:val="single"/>
    </w:rPr>
  </w:style>
  <w:style w:type="paragraph" w:customStyle="1" w:styleId="EndNoteBibliography">
    <w:name w:val="EndNote Bibliography"/>
    <w:basedOn w:val="Normal"/>
    <w:link w:val="EndNoteBibliographyChar"/>
    <w:rsid w:val="009907BA"/>
    <w:pPr>
      <w:widowControl/>
      <w:jc w:val="left"/>
    </w:pPr>
    <w:rPr>
      <w:rFonts w:ascii="Calibri" w:eastAsia="SimSun" w:hAnsi="Calibri" w:cs="Calibri"/>
      <w:noProof/>
      <w:color w:val="000000"/>
      <w:kern w:val="0"/>
      <w:sz w:val="15"/>
      <w:szCs w:val="15"/>
      <w:lang w:eastAsia="en-US"/>
    </w:rPr>
  </w:style>
  <w:style w:type="character" w:customStyle="1" w:styleId="EndNoteBibliographyChar">
    <w:name w:val="EndNote Bibliography Char"/>
    <w:basedOn w:val="DefaultParagraphFont"/>
    <w:link w:val="EndNoteBibliography"/>
    <w:rsid w:val="009907BA"/>
    <w:rPr>
      <w:rFonts w:ascii="Calibri" w:eastAsia="SimSun" w:hAnsi="Calibri" w:cs="Calibri"/>
      <w:noProof/>
      <w:color w:val="000000"/>
      <w:kern w:val="0"/>
      <w:sz w:val="15"/>
      <w:szCs w:val="15"/>
      <w:lang w:eastAsia="en-US"/>
    </w:rPr>
  </w:style>
  <w:style w:type="character" w:styleId="LineNumber">
    <w:name w:val="line number"/>
    <w:basedOn w:val="DefaultParagraphFont"/>
    <w:uiPriority w:val="99"/>
    <w:semiHidden/>
    <w:unhideWhenUsed/>
    <w:rsid w:val="009907BA"/>
  </w:style>
  <w:style w:type="paragraph" w:customStyle="1" w:styleId="05-abstract">
    <w:name w:val="05-abstract"/>
    <w:basedOn w:val="Normal"/>
    <w:link w:val="05-abstractChar"/>
    <w:qFormat/>
    <w:rsid w:val="009907BA"/>
    <w:pPr>
      <w:autoSpaceDE w:val="0"/>
      <w:autoSpaceDN w:val="0"/>
      <w:adjustRightInd w:val="0"/>
      <w:snapToGrid w:val="0"/>
      <w:spacing w:beforeLines="100" w:before="240" w:line="240" w:lineRule="exact"/>
    </w:pPr>
    <w:rPr>
      <w:rFonts w:ascii="Gulliver-Regular" w:eastAsia="Gulliver-Regular" w:hAnsi="Gulliver-Regular" w:cs="Times New Roman"/>
      <w:kern w:val="0"/>
      <w:sz w:val="14"/>
      <w:szCs w:val="14"/>
    </w:rPr>
  </w:style>
  <w:style w:type="character" w:customStyle="1" w:styleId="05-abstractChar">
    <w:name w:val="05-abstract Char"/>
    <w:basedOn w:val="DefaultParagraphFont"/>
    <w:link w:val="05-abstract"/>
    <w:rsid w:val="009907BA"/>
    <w:rPr>
      <w:rFonts w:ascii="Gulliver-Regular" w:eastAsia="Gulliver-Regular" w:hAnsi="Gulliver-Regular" w:cs="Times New Roman"/>
      <w:kern w:val="0"/>
      <w:sz w:val="14"/>
      <w:szCs w:val="14"/>
    </w:rPr>
  </w:style>
  <w:style w:type="paragraph" w:customStyle="1" w:styleId="03-affiliation">
    <w:name w:val="03-affiliation"/>
    <w:basedOn w:val="Normal"/>
    <w:link w:val="03-affiliationChar"/>
    <w:qFormat/>
    <w:rsid w:val="009907BA"/>
    <w:pPr>
      <w:adjustRightInd w:val="0"/>
      <w:snapToGrid w:val="0"/>
      <w:spacing w:line="240" w:lineRule="exact"/>
    </w:pPr>
    <w:rPr>
      <w:rFonts w:ascii="Gulliver-Regular" w:eastAsia="Gulliver-Regular" w:hAnsi="Gulliver-Regular" w:cs="Calibri"/>
      <w:i/>
      <w:kern w:val="0"/>
      <w:sz w:val="13"/>
      <w:szCs w:val="13"/>
    </w:rPr>
  </w:style>
  <w:style w:type="character" w:customStyle="1" w:styleId="03-affiliationChar">
    <w:name w:val="03-affiliation Char"/>
    <w:basedOn w:val="DefaultParagraphFont"/>
    <w:link w:val="03-affiliation"/>
    <w:rsid w:val="009907BA"/>
    <w:rPr>
      <w:rFonts w:ascii="Gulliver-Regular" w:eastAsia="Gulliver-Regular" w:hAnsi="Gulliver-Regular" w:cs="Calibri"/>
      <w:i/>
      <w:kern w:val="0"/>
      <w:sz w:val="13"/>
      <w:szCs w:val="13"/>
    </w:rPr>
  </w:style>
  <w:style w:type="paragraph" w:customStyle="1" w:styleId="01-Articletitle">
    <w:name w:val="01-Article title"/>
    <w:basedOn w:val="Normal"/>
    <w:link w:val="01-ArticletitleChar"/>
    <w:qFormat/>
    <w:rsid w:val="009907BA"/>
    <w:pPr>
      <w:widowControl/>
      <w:overflowPunct w:val="0"/>
      <w:autoSpaceDE w:val="0"/>
      <w:autoSpaceDN w:val="0"/>
      <w:adjustRightInd w:val="0"/>
      <w:spacing w:afterLines="100" w:after="240"/>
      <w:jc w:val="left"/>
    </w:pPr>
    <w:rPr>
      <w:rFonts w:ascii="Gulliver-Regular" w:eastAsia="Gulliver-Regular" w:hAnsi="Gulliver-Regular" w:cs="Times New Roman"/>
      <w:b/>
      <w:color w:val="000000"/>
      <w:kern w:val="0"/>
      <w:sz w:val="28"/>
      <w:szCs w:val="28"/>
    </w:rPr>
  </w:style>
  <w:style w:type="character" w:customStyle="1" w:styleId="01-ArticletitleChar">
    <w:name w:val="01-Article title Char"/>
    <w:link w:val="01-Articletitle"/>
    <w:rsid w:val="009907BA"/>
    <w:rPr>
      <w:rFonts w:ascii="Gulliver-Regular" w:eastAsia="Gulliver-Regular" w:hAnsi="Gulliver-Regular" w:cs="Times New Roman"/>
      <w:b/>
      <w:color w:val="000000"/>
      <w:kern w:val="0"/>
      <w:sz w:val="28"/>
      <w:szCs w:val="28"/>
    </w:rPr>
  </w:style>
  <w:style w:type="paragraph" w:customStyle="1" w:styleId="00-Articletype">
    <w:name w:val="00-Article type"/>
    <w:basedOn w:val="Normal"/>
    <w:link w:val="00-ArticletypeChar"/>
    <w:qFormat/>
    <w:rsid w:val="009907BA"/>
    <w:pPr>
      <w:adjustRightInd w:val="0"/>
      <w:snapToGrid w:val="0"/>
      <w:spacing w:afterLines="100" w:after="200" w:line="240" w:lineRule="exact"/>
    </w:pPr>
    <w:rPr>
      <w:rFonts w:ascii="Gulliver-Regular" w:eastAsia="Gulliver-Regular" w:hAnsi="Gulliver-Regular" w:cs="Calibri"/>
      <w:kern w:val="0"/>
      <w:sz w:val="16"/>
      <w:szCs w:val="16"/>
    </w:rPr>
  </w:style>
  <w:style w:type="character" w:customStyle="1" w:styleId="00-ArticletypeChar">
    <w:name w:val="00-Article type Char"/>
    <w:basedOn w:val="DefaultParagraphFont"/>
    <w:link w:val="00-Articletype"/>
    <w:rsid w:val="009907BA"/>
    <w:rPr>
      <w:rFonts w:ascii="Gulliver-Regular" w:eastAsia="Gulliver-Regular" w:hAnsi="Gulliver-Regular" w:cs="Calibri"/>
      <w:kern w:val="0"/>
      <w:sz w:val="16"/>
      <w:szCs w:val="16"/>
    </w:rPr>
  </w:style>
  <w:style w:type="paragraph" w:customStyle="1" w:styleId="02-Authorname">
    <w:name w:val="02-Author name"/>
    <w:basedOn w:val="Normal"/>
    <w:link w:val="02-AuthornameChar"/>
    <w:qFormat/>
    <w:rsid w:val="009907BA"/>
    <w:pPr>
      <w:adjustRightInd w:val="0"/>
      <w:spacing w:afterLines="100" w:after="240" w:line="240" w:lineRule="exact"/>
    </w:pPr>
    <w:rPr>
      <w:rFonts w:ascii="Gulliver-Regular" w:eastAsia="Gulliver-Regular" w:hAnsi="Gulliver-Regular" w:cs="Times New Roman"/>
      <w:color w:val="000000"/>
      <w:kern w:val="0"/>
      <w:szCs w:val="21"/>
    </w:rPr>
  </w:style>
  <w:style w:type="character" w:customStyle="1" w:styleId="02-AuthornameChar">
    <w:name w:val="02-Author name Char"/>
    <w:link w:val="02-Authorname"/>
    <w:rsid w:val="009907BA"/>
    <w:rPr>
      <w:rFonts w:ascii="Gulliver-Regular" w:eastAsia="Gulliver-Regular" w:hAnsi="Gulliver-Regular" w:cs="Times New Roman"/>
      <w:color w:val="000000"/>
      <w:kern w:val="0"/>
      <w:szCs w:val="21"/>
    </w:rPr>
  </w:style>
  <w:style w:type="paragraph" w:customStyle="1" w:styleId="21-backmatter">
    <w:name w:val="21-back matter"/>
    <w:basedOn w:val="Normal"/>
    <w:link w:val="21-backmatterChar"/>
    <w:qFormat/>
    <w:rsid w:val="009907BA"/>
    <w:pPr>
      <w:widowControl/>
      <w:overflowPunct w:val="0"/>
      <w:autoSpaceDE w:val="0"/>
      <w:autoSpaceDN w:val="0"/>
      <w:adjustRightInd w:val="0"/>
      <w:spacing w:beforeLines="100" w:afterLines="50" w:after="200" w:line="240" w:lineRule="exact"/>
      <w:jc w:val="left"/>
      <w:textAlignment w:val="baseline"/>
    </w:pPr>
    <w:rPr>
      <w:rFonts w:ascii="Gulliver-Regular" w:eastAsia="Gulliver-Regular" w:hAnsi="Gulliver-Regular" w:cs="Times New Roman"/>
      <w:b/>
      <w:color w:val="000000"/>
      <w:kern w:val="0"/>
      <w:sz w:val="16"/>
      <w:szCs w:val="18"/>
      <w:lang w:eastAsia="en-US"/>
    </w:rPr>
  </w:style>
  <w:style w:type="character" w:customStyle="1" w:styleId="21-backmatterChar">
    <w:name w:val="21-back matter Char"/>
    <w:basedOn w:val="DefaultParagraphFont"/>
    <w:link w:val="21-backmatter"/>
    <w:rsid w:val="009907BA"/>
    <w:rPr>
      <w:rFonts w:ascii="Gulliver-Regular" w:eastAsia="Gulliver-Regular" w:hAnsi="Gulliver-Regular" w:cs="Times New Roman"/>
      <w:b/>
      <w:color w:val="000000"/>
      <w:kern w:val="0"/>
      <w:sz w:val="16"/>
      <w:szCs w:val="18"/>
      <w:lang w:eastAsia="en-US"/>
    </w:rPr>
  </w:style>
  <w:style w:type="paragraph" w:customStyle="1" w:styleId="07-E-mail">
    <w:name w:val="07-E-mail"/>
    <w:basedOn w:val="FootnoteText"/>
    <w:link w:val="07-E-mailChar"/>
    <w:qFormat/>
    <w:rsid w:val="009907BA"/>
    <w:pPr>
      <w:spacing w:after="0"/>
    </w:pPr>
    <w:rPr>
      <w:rFonts w:ascii="Gulliver-Regular" w:eastAsia="Gulliver-Regular" w:hAnsi="Gulliver-Regular" w:cs="Times New Roman"/>
      <w:sz w:val="14"/>
      <w:szCs w:val="14"/>
    </w:rPr>
  </w:style>
  <w:style w:type="character" w:customStyle="1" w:styleId="07-E-mailChar">
    <w:name w:val="07-E-mail Char"/>
    <w:basedOn w:val="FootnoteTextChar"/>
    <w:link w:val="07-E-mail"/>
    <w:rsid w:val="009907BA"/>
    <w:rPr>
      <w:rFonts w:ascii="Gulliver-Regular" w:eastAsia="Gulliver-Regular" w:hAnsi="Gulliver-Regular" w:cs="Times New Roman"/>
      <w:kern w:val="0"/>
      <w:sz w:val="14"/>
      <w:szCs w:val="14"/>
      <w:lang w:eastAsia="en-US"/>
    </w:rPr>
  </w:style>
  <w:style w:type="paragraph" w:styleId="FootnoteText">
    <w:name w:val="footnote text"/>
    <w:basedOn w:val="Normal"/>
    <w:link w:val="FootnoteTextChar"/>
    <w:uiPriority w:val="99"/>
    <w:semiHidden/>
    <w:unhideWhenUsed/>
    <w:rsid w:val="009907BA"/>
    <w:pPr>
      <w:widowControl/>
      <w:snapToGrid w:val="0"/>
      <w:spacing w:after="160" w:line="259" w:lineRule="auto"/>
      <w:jc w:val="left"/>
    </w:pPr>
    <w:rPr>
      <w:kern w:val="0"/>
      <w:sz w:val="18"/>
      <w:szCs w:val="18"/>
      <w:lang w:eastAsia="en-US"/>
    </w:rPr>
  </w:style>
  <w:style w:type="character" w:customStyle="1" w:styleId="FootnoteTextChar">
    <w:name w:val="Footnote Text Char"/>
    <w:basedOn w:val="DefaultParagraphFont"/>
    <w:link w:val="FootnoteText"/>
    <w:uiPriority w:val="99"/>
    <w:semiHidden/>
    <w:rsid w:val="009907BA"/>
    <w:rPr>
      <w:kern w:val="0"/>
      <w:sz w:val="18"/>
      <w:szCs w:val="18"/>
      <w:lang w:eastAsia="en-US"/>
    </w:rPr>
  </w:style>
  <w:style w:type="paragraph" w:customStyle="1" w:styleId="19-equation">
    <w:name w:val="19-equation"/>
    <w:basedOn w:val="Normal"/>
    <w:link w:val="19-equationChar"/>
    <w:qFormat/>
    <w:rsid w:val="009907BA"/>
    <w:pPr>
      <w:widowControl/>
      <w:overflowPunct w:val="0"/>
      <w:adjustRightInd w:val="0"/>
      <w:snapToGrid w:val="0"/>
      <w:spacing w:beforeLines="50" w:afterLines="50" w:after="200"/>
    </w:pPr>
    <w:rPr>
      <w:rFonts w:ascii="Cambria Math" w:eastAsia="Gulliver-Regular" w:hAnsi="Cambria Math" w:cs="Times New Roman"/>
      <w:color w:val="000000"/>
      <w:kern w:val="0"/>
      <w:sz w:val="16"/>
      <w:szCs w:val="15"/>
    </w:rPr>
  </w:style>
  <w:style w:type="character" w:customStyle="1" w:styleId="19-equationChar">
    <w:name w:val="19-equation Char"/>
    <w:basedOn w:val="DefaultParagraphFont"/>
    <w:link w:val="19-equation"/>
    <w:rsid w:val="009907BA"/>
    <w:rPr>
      <w:rFonts w:ascii="Cambria Math" w:eastAsia="Gulliver-Regular" w:hAnsi="Cambria Math" w:cs="Times New Roman"/>
      <w:color w:val="000000"/>
      <w:kern w:val="0"/>
      <w:sz w:val="16"/>
      <w:szCs w:val="15"/>
    </w:rPr>
  </w:style>
  <w:style w:type="paragraph" w:customStyle="1" w:styleId="13-figcaption1line">
    <w:name w:val="13-fig caption (1 line)"/>
    <w:basedOn w:val="Normal"/>
    <w:link w:val="13-figcaption1lineChar"/>
    <w:qFormat/>
    <w:rsid w:val="009907BA"/>
    <w:pPr>
      <w:widowControl/>
      <w:overflowPunct w:val="0"/>
      <w:autoSpaceDE w:val="0"/>
      <w:autoSpaceDN w:val="0"/>
      <w:adjustRightInd w:val="0"/>
      <w:spacing w:line="240" w:lineRule="exact"/>
      <w:jc w:val="center"/>
      <w:textAlignment w:val="baseline"/>
    </w:pPr>
    <w:rPr>
      <w:rFonts w:ascii="Gulliver-Regular" w:eastAsia="Gulliver-Regular" w:hAnsi="Gulliver-Regular" w:cs="Times New Roman"/>
      <w:color w:val="000000"/>
      <w:kern w:val="0"/>
      <w:sz w:val="13"/>
      <w:szCs w:val="16"/>
      <w:lang w:eastAsia="en-US"/>
    </w:rPr>
  </w:style>
  <w:style w:type="character" w:customStyle="1" w:styleId="13-figcaption1lineChar">
    <w:name w:val="13-fig caption (1 line) Char"/>
    <w:basedOn w:val="DefaultParagraphFont"/>
    <w:link w:val="13-figcaption1line"/>
    <w:rsid w:val="009907BA"/>
    <w:rPr>
      <w:rFonts w:ascii="Gulliver-Regular" w:eastAsia="Gulliver-Regular" w:hAnsi="Gulliver-Regular" w:cs="Times New Roman"/>
      <w:color w:val="000000"/>
      <w:kern w:val="0"/>
      <w:sz w:val="13"/>
      <w:szCs w:val="16"/>
      <w:lang w:eastAsia="en-US"/>
    </w:rPr>
  </w:style>
  <w:style w:type="paragraph" w:customStyle="1" w:styleId="12-figure">
    <w:name w:val="12-figure"/>
    <w:basedOn w:val="Normal"/>
    <w:link w:val="12-figureChar"/>
    <w:autoRedefine/>
    <w:qFormat/>
    <w:rsid w:val="009907BA"/>
    <w:pPr>
      <w:spacing w:before="120"/>
      <w:jc w:val="center"/>
    </w:pPr>
    <w:rPr>
      <w:rFonts w:ascii="Gulliver-Regular" w:eastAsia="Gulliver-Regular" w:hAnsi="Gulliver-Regular" w:cs="Times New Roman"/>
      <w:noProof/>
      <w:color w:val="000000"/>
      <w:kern w:val="0"/>
      <w:sz w:val="16"/>
      <w:szCs w:val="15"/>
    </w:rPr>
  </w:style>
  <w:style w:type="character" w:customStyle="1" w:styleId="12-figureChar">
    <w:name w:val="12-figure Char"/>
    <w:basedOn w:val="DefaultParagraphFont"/>
    <w:link w:val="12-figure"/>
    <w:rsid w:val="009907BA"/>
    <w:rPr>
      <w:rFonts w:ascii="Gulliver-Regular" w:eastAsia="Gulliver-Regular" w:hAnsi="Gulliver-Regular" w:cs="Times New Roman"/>
      <w:noProof/>
      <w:color w:val="000000"/>
      <w:kern w:val="0"/>
      <w:sz w:val="16"/>
      <w:szCs w:val="15"/>
    </w:rPr>
  </w:style>
  <w:style w:type="paragraph" w:customStyle="1" w:styleId="14-figurecaption">
    <w:name w:val="14-figure caption"/>
    <w:basedOn w:val="Normal"/>
    <w:link w:val="14-figurecaptionChar"/>
    <w:qFormat/>
    <w:rsid w:val="009907BA"/>
    <w:pPr>
      <w:widowControl/>
      <w:overflowPunct w:val="0"/>
      <w:autoSpaceDE w:val="0"/>
      <w:autoSpaceDN w:val="0"/>
      <w:adjustRightInd w:val="0"/>
      <w:spacing w:line="240" w:lineRule="exact"/>
      <w:textAlignment w:val="baseline"/>
    </w:pPr>
    <w:rPr>
      <w:rFonts w:ascii="Gulliver-Regular" w:eastAsia="Gulliver-Regular" w:hAnsi="Gulliver-Regular" w:cs="Times New Roman"/>
      <w:color w:val="000000"/>
      <w:kern w:val="0"/>
      <w:sz w:val="13"/>
      <w:szCs w:val="13"/>
      <w:lang w:val="en-AU" w:eastAsia="en-US"/>
    </w:rPr>
  </w:style>
  <w:style w:type="character" w:customStyle="1" w:styleId="14-figurecaptionChar">
    <w:name w:val="14-figure caption Char"/>
    <w:link w:val="14-figurecaption"/>
    <w:rsid w:val="009907BA"/>
    <w:rPr>
      <w:rFonts w:ascii="Gulliver-Regular" w:eastAsia="Gulliver-Regular" w:hAnsi="Gulliver-Regular" w:cs="Times New Roman"/>
      <w:color w:val="000000"/>
      <w:kern w:val="0"/>
      <w:sz w:val="13"/>
      <w:szCs w:val="13"/>
      <w:lang w:val="en-AU" w:eastAsia="en-US"/>
    </w:rPr>
  </w:style>
  <w:style w:type="paragraph" w:customStyle="1" w:styleId="04-history">
    <w:name w:val="04-history"/>
    <w:basedOn w:val="Normal"/>
    <w:link w:val="04-historyChar"/>
    <w:qFormat/>
    <w:rsid w:val="009907BA"/>
    <w:pPr>
      <w:widowControl/>
      <w:overflowPunct w:val="0"/>
      <w:autoSpaceDE w:val="0"/>
      <w:autoSpaceDN w:val="0"/>
      <w:adjustRightInd w:val="0"/>
      <w:snapToGrid w:val="0"/>
      <w:spacing w:after="160" w:line="240" w:lineRule="exact"/>
      <w:jc w:val="left"/>
      <w:textAlignment w:val="baseline"/>
    </w:pPr>
    <w:rPr>
      <w:rFonts w:ascii="Gulliver-Regular" w:eastAsia="Gulliver-Regular" w:hAnsi="Gulliver-Regular" w:cs="Times New Roman"/>
      <w:iCs/>
      <w:kern w:val="0"/>
      <w:sz w:val="13"/>
      <w:szCs w:val="13"/>
      <w:lang w:val="en-IN" w:eastAsia="en-US"/>
    </w:rPr>
  </w:style>
  <w:style w:type="character" w:customStyle="1" w:styleId="04-historyChar">
    <w:name w:val="04-history Char"/>
    <w:basedOn w:val="DefaultParagraphFont"/>
    <w:link w:val="04-history"/>
    <w:rsid w:val="009907BA"/>
    <w:rPr>
      <w:rFonts w:ascii="Gulliver-Regular" w:eastAsia="Gulliver-Regular" w:hAnsi="Gulliver-Regular" w:cs="Times New Roman"/>
      <w:iCs/>
      <w:kern w:val="0"/>
      <w:sz w:val="13"/>
      <w:szCs w:val="13"/>
      <w:lang w:val="en-IN" w:eastAsia="en-US"/>
    </w:rPr>
  </w:style>
  <w:style w:type="paragraph" w:customStyle="1" w:styleId="20-items">
    <w:name w:val="20-items"/>
    <w:basedOn w:val="Normal"/>
    <w:link w:val="20-itemsChar"/>
    <w:qFormat/>
    <w:rsid w:val="009907BA"/>
    <w:pPr>
      <w:numPr>
        <w:numId w:val="11"/>
      </w:numPr>
      <w:autoSpaceDE w:val="0"/>
      <w:autoSpaceDN w:val="0"/>
      <w:adjustRightInd w:val="0"/>
      <w:snapToGrid w:val="0"/>
      <w:spacing w:line="240" w:lineRule="exact"/>
    </w:pPr>
    <w:rPr>
      <w:rFonts w:ascii="Gulliver-Regular" w:eastAsia="Gulliver-Regular" w:hAnsi="Gulliver-Regular" w:cstheme="minorHAnsi"/>
      <w:kern w:val="0"/>
      <w:sz w:val="16"/>
      <w:szCs w:val="16"/>
    </w:rPr>
  </w:style>
  <w:style w:type="character" w:customStyle="1" w:styleId="20-itemsChar">
    <w:name w:val="20-items Char"/>
    <w:basedOn w:val="DefaultParagraphFont"/>
    <w:link w:val="20-items"/>
    <w:rsid w:val="009907BA"/>
    <w:rPr>
      <w:rFonts w:ascii="Gulliver-Regular" w:eastAsia="Gulliver-Regular" w:hAnsi="Gulliver-Regular" w:cstheme="minorHAnsi"/>
      <w:kern w:val="0"/>
      <w:sz w:val="16"/>
      <w:szCs w:val="16"/>
    </w:rPr>
  </w:style>
  <w:style w:type="paragraph" w:customStyle="1" w:styleId="06-keywords">
    <w:name w:val="06-keywords"/>
    <w:basedOn w:val="Normal"/>
    <w:link w:val="06-keywordsChar"/>
    <w:qFormat/>
    <w:rsid w:val="009907BA"/>
    <w:pPr>
      <w:autoSpaceDE w:val="0"/>
      <w:autoSpaceDN w:val="0"/>
      <w:adjustRightInd w:val="0"/>
      <w:snapToGrid w:val="0"/>
      <w:spacing w:afterLines="100" w:after="240" w:line="240" w:lineRule="exact"/>
    </w:pPr>
    <w:rPr>
      <w:rFonts w:ascii="Gulliver-Regular" w:eastAsia="Gulliver-Regular" w:hAnsi="Gulliver-Regular" w:cs="Times New Roman"/>
      <w:kern w:val="0"/>
      <w:sz w:val="13"/>
      <w:szCs w:val="13"/>
    </w:rPr>
  </w:style>
  <w:style w:type="character" w:customStyle="1" w:styleId="06-keywordsChar">
    <w:name w:val="06-keywords Char"/>
    <w:basedOn w:val="DefaultParagraphFont"/>
    <w:link w:val="06-keywords"/>
    <w:rsid w:val="009907BA"/>
    <w:rPr>
      <w:rFonts w:ascii="Gulliver-Regular" w:eastAsia="Gulliver-Regular" w:hAnsi="Gulliver-Regular" w:cs="Times New Roman"/>
      <w:kern w:val="0"/>
      <w:sz w:val="13"/>
      <w:szCs w:val="13"/>
    </w:rPr>
  </w:style>
  <w:style w:type="paragraph" w:customStyle="1" w:styleId="11-maintext">
    <w:name w:val="11-maintext"/>
    <w:basedOn w:val="Normal"/>
    <w:link w:val="11-maintextChar"/>
    <w:qFormat/>
    <w:rsid w:val="009907BA"/>
    <w:pPr>
      <w:widowControl/>
      <w:spacing w:line="240" w:lineRule="exact"/>
      <w:ind w:firstLineChars="200" w:firstLine="300"/>
    </w:pPr>
    <w:rPr>
      <w:rFonts w:ascii="Gulliver-Regular" w:eastAsia="Gulliver-Regular" w:hAnsi="Gulliver-Regular" w:cs="Times New Roman"/>
      <w:color w:val="000000"/>
      <w:kern w:val="0"/>
      <w:sz w:val="16"/>
      <w:szCs w:val="15"/>
      <w:lang w:eastAsia="en-US"/>
    </w:rPr>
  </w:style>
  <w:style w:type="character" w:customStyle="1" w:styleId="11-maintextChar">
    <w:name w:val="11-maintext Char"/>
    <w:basedOn w:val="DefaultParagraphFont"/>
    <w:link w:val="11-maintext"/>
    <w:rsid w:val="009907BA"/>
    <w:rPr>
      <w:rFonts w:ascii="Gulliver-Regular" w:eastAsia="Gulliver-Regular" w:hAnsi="Gulliver-Regular" w:cs="Times New Roman"/>
      <w:color w:val="000000"/>
      <w:kern w:val="0"/>
      <w:sz w:val="16"/>
      <w:szCs w:val="15"/>
      <w:lang w:eastAsia="en-US"/>
    </w:rPr>
  </w:style>
  <w:style w:type="paragraph" w:customStyle="1" w:styleId="22-ref">
    <w:name w:val="22-ref"/>
    <w:basedOn w:val="Normal"/>
    <w:link w:val="22-refChar"/>
    <w:qFormat/>
    <w:rsid w:val="009907BA"/>
    <w:pPr>
      <w:widowControl/>
      <w:adjustRightInd w:val="0"/>
      <w:snapToGrid w:val="0"/>
      <w:spacing w:line="240" w:lineRule="exact"/>
      <w:ind w:left="130" w:hangingChars="100" w:hanging="130"/>
    </w:pPr>
    <w:rPr>
      <w:rFonts w:ascii="Gulliver-Regular" w:eastAsia="Gulliver-Regular" w:hAnsi="Gulliver-Regular" w:cs="Calibri"/>
      <w:color w:val="000000"/>
      <w:kern w:val="0"/>
      <w:sz w:val="13"/>
      <w:szCs w:val="13"/>
      <w:lang w:eastAsia="en-US"/>
    </w:rPr>
  </w:style>
  <w:style w:type="character" w:customStyle="1" w:styleId="22-refChar">
    <w:name w:val="22-ref Char"/>
    <w:basedOn w:val="DefaultParagraphFont"/>
    <w:link w:val="22-ref"/>
    <w:rsid w:val="009907BA"/>
    <w:rPr>
      <w:rFonts w:ascii="Gulliver-Regular" w:eastAsia="Gulliver-Regular" w:hAnsi="Gulliver-Regular" w:cs="Calibri"/>
      <w:color w:val="000000"/>
      <w:kern w:val="0"/>
      <w:sz w:val="13"/>
      <w:szCs w:val="13"/>
      <w:lang w:eastAsia="en-US"/>
    </w:rPr>
  </w:style>
  <w:style w:type="paragraph" w:customStyle="1" w:styleId="08-section">
    <w:name w:val="08-section"/>
    <w:basedOn w:val="Normal"/>
    <w:link w:val="08-sectionChar"/>
    <w:qFormat/>
    <w:rsid w:val="009907BA"/>
    <w:pPr>
      <w:keepNext/>
      <w:keepLines/>
      <w:widowControl/>
      <w:numPr>
        <w:numId w:val="8"/>
      </w:numPr>
      <w:suppressAutoHyphens/>
      <w:overflowPunct w:val="0"/>
      <w:autoSpaceDE w:val="0"/>
      <w:autoSpaceDN w:val="0"/>
      <w:adjustRightInd w:val="0"/>
      <w:snapToGrid w:val="0"/>
      <w:spacing w:before="240" w:after="240" w:line="240" w:lineRule="exact"/>
      <w:jc w:val="left"/>
      <w:textAlignment w:val="baseline"/>
      <w:outlineLvl w:val="0"/>
    </w:pPr>
    <w:rPr>
      <w:rFonts w:ascii="Gulliver-Regular" w:eastAsia="Gulliver-Regular" w:hAnsi="Gulliver-Regular" w:cs="Arial"/>
      <w:b/>
      <w:kern w:val="0"/>
      <w:sz w:val="16"/>
      <w:szCs w:val="16"/>
      <w:lang w:eastAsia="en-US"/>
    </w:rPr>
  </w:style>
  <w:style w:type="character" w:customStyle="1" w:styleId="08-sectionChar">
    <w:name w:val="08-section Char"/>
    <w:link w:val="08-section"/>
    <w:rsid w:val="009907BA"/>
    <w:rPr>
      <w:rFonts w:ascii="Gulliver-Regular" w:eastAsia="Gulliver-Regular" w:hAnsi="Gulliver-Regular" w:cs="Arial"/>
      <w:b/>
      <w:kern w:val="0"/>
      <w:sz w:val="16"/>
      <w:szCs w:val="16"/>
      <w:lang w:eastAsia="en-US"/>
    </w:rPr>
  </w:style>
  <w:style w:type="paragraph" w:customStyle="1" w:styleId="09-subsection">
    <w:name w:val="09-subsection"/>
    <w:basedOn w:val="Normal"/>
    <w:link w:val="09-subsectionChar"/>
    <w:qFormat/>
    <w:rsid w:val="009907BA"/>
    <w:pPr>
      <w:keepNext/>
      <w:keepLines/>
      <w:widowControl/>
      <w:numPr>
        <w:ilvl w:val="1"/>
        <w:numId w:val="8"/>
      </w:numPr>
      <w:suppressAutoHyphens/>
      <w:overflowPunct w:val="0"/>
      <w:autoSpaceDE w:val="0"/>
      <w:autoSpaceDN w:val="0"/>
      <w:adjustRightInd w:val="0"/>
      <w:snapToGrid w:val="0"/>
      <w:spacing w:before="240" w:after="240" w:line="240" w:lineRule="exact"/>
      <w:ind w:left="0" w:hangingChars="155" w:hanging="155"/>
      <w:jc w:val="left"/>
      <w:textAlignment w:val="baseline"/>
      <w:outlineLvl w:val="1"/>
    </w:pPr>
    <w:rPr>
      <w:rFonts w:ascii="Gulliver-Regular" w:eastAsia="Gulliver-Regular" w:hAnsi="Gulliver-Regular" w:cs="Times New Roman"/>
      <w:i/>
      <w:kern w:val="0"/>
      <w:sz w:val="16"/>
      <w:szCs w:val="16"/>
      <w:lang w:eastAsia="en-US"/>
    </w:rPr>
  </w:style>
  <w:style w:type="character" w:customStyle="1" w:styleId="09-subsectionChar">
    <w:name w:val="09-subsection Char"/>
    <w:link w:val="09-subsection"/>
    <w:rsid w:val="009907BA"/>
    <w:rPr>
      <w:rFonts w:ascii="Gulliver-Regular" w:eastAsia="Gulliver-Regular" w:hAnsi="Gulliver-Regular" w:cs="Times New Roman"/>
      <w:i/>
      <w:kern w:val="0"/>
      <w:sz w:val="16"/>
      <w:szCs w:val="16"/>
      <w:lang w:eastAsia="en-US"/>
    </w:rPr>
  </w:style>
  <w:style w:type="paragraph" w:customStyle="1" w:styleId="10-subsubsection">
    <w:name w:val="10-subsubsection"/>
    <w:basedOn w:val="Normal"/>
    <w:link w:val="10-subsubsectionChar"/>
    <w:qFormat/>
    <w:rsid w:val="009907BA"/>
    <w:pPr>
      <w:keepNext/>
      <w:keepLines/>
      <w:widowControl/>
      <w:numPr>
        <w:ilvl w:val="2"/>
        <w:numId w:val="8"/>
      </w:numPr>
      <w:suppressAutoHyphens/>
      <w:overflowPunct w:val="0"/>
      <w:autoSpaceDE w:val="0"/>
      <w:autoSpaceDN w:val="0"/>
      <w:adjustRightInd w:val="0"/>
      <w:spacing w:before="240" w:line="240" w:lineRule="exact"/>
      <w:ind w:left="0" w:hangingChars="206" w:hanging="357"/>
      <w:jc w:val="left"/>
      <w:textAlignment w:val="baseline"/>
      <w:outlineLvl w:val="2"/>
    </w:pPr>
    <w:rPr>
      <w:rFonts w:ascii="Gulliver-Regular" w:eastAsia="Gulliver-Regular" w:hAnsi="Gulliver-Regular" w:cs="Times New Roman"/>
      <w:i/>
      <w:kern w:val="0"/>
      <w:sz w:val="16"/>
      <w:szCs w:val="16"/>
      <w:lang w:eastAsia="en-US"/>
    </w:rPr>
  </w:style>
  <w:style w:type="character" w:customStyle="1" w:styleId="10-subsubsectionChar">
    <w:name w:val="10-subsubsection Char"/>
    <w:link w:val="10-subsubsection"/>
    <w:rsid w:val="009907BA"/>
    <w:rPr>
      <w:rFonts w:ascii="Gulliver-Regular" w:eastAsia="Gulliver-Regular" w:hAnsi="Gulliver-Regular" w:cs="Times New Roman"/>
      <w:i/>
      <w:kern w:val="0"/>
      <w:sz w:val="16"/>
      <w:szCs w:val="16"/>
      <w:lang w:eastAsia="en-US"/>
    </w:rPr>
  </w:style>
  <w:style w:type="paragraph" w:customStyle="1" w:styleId="15-table">
    <w:name w:val="15-table"/>
    <w:basedOn w:val="Normal"/>
    <w:link w:val="15-tableChar"/>
    <w:qFormat/>
    <w:rsid w:val="009907BA"/>
    <w:pPr>
      <w:widowControl/>
      <w:overflowPunct w:val="0"/>
      <w:autoSpaceDE w:val="0"/>
      <w:autoSpaceDN w:val="0"/>
      <w:adjustRightInd w:val="0"/>
      <w:snapToGrid w:val="0"/>
      <w:jc w:val="left"/>
      <w:textAlignment w:val="baseline"/>
    </w:pPr>
    <w:rPr>
      <w:rFonts w:ascii="Gulliver-Regular" w:eastAsia="Gulliver-Regular" w:hAnsi="Gulliver-Regular" w:cs="Times New Roman"/>
      <w:b/>
      <w:color w:val="000000"/>
      <w:kern w:val="0"/>
      <w:sz w:val="13"/>
      <w:szCs w:val="13"/>
      <w:lang w:eastAsia="en-US"/>
    </w:rPr>
  </w:style>
  <w:style w:type="character" w:customStyle="1" w:styleId="15-tableChar">
    <w:name w:val="15-table Char"/>
    <w:basedOn w:val="DefaultParagraphFont"/>
    <w:link w:val="15-table"/>
    <w:rsid w:val="009907BA"/>
    <w:rPr>
      <w:rFonts w:ascii="Gulliver-Regular" w:eastAsia="Gulliver-Regular" w:hAnsi="Gulliver-Regular" w:cs="Times New Roman"/>
      <w:b/>
      <w:color w:val="000000"/>
      <w:kern w:val="0"/>
      <w:sz w:val="13"/>
      <w:szCs w:val="13"/>
      <w:lang w:eastAsia="en-US"/>
    </w:rPr>
  </w:style>
  <w:style w:type="paragraph" w:customStyle="1" w:styleId="16-tablecaption">
    <w:name w:val="16-table caption"/>
    <w:basedOn w:val="Normal"/>
    <w:link w:val="16-tablecaptionChar"/>
    <w:qFormat/>
    <w:rsid w:val="009907BA"/>
    <w:pPr>
      <w:widowControl/>
      <w:overflowPunct w:val="0"/>
      <w:autoSpaceDE w:val="0"/>
      <w:autoSpaceDN w:val="0"/>
      <w:adjustRightInd w:val="0"/>
      <w:spacing w:before="60" w:after="60"/>
      <w:textAlignment w:val="baseline"/>
    </w:pPr>
    <w:rPr>
      <w:rFonts w:ascii="Gulliver-Regular" w:eastAsia="Gulliver-Regular" w:hAnsi="Gulliver-Regular" w:cs="Times New Roman"/>
      <w:color w:val="000000"/>
      <w:kern w:val="0"/>
      <w:sz w:val="13"/>
      <w:szCs w:val="13"/>
      <w:lang w:eastAsia="en-US"/>
    </w:rPr>
  </w:style>
  <w:style w:type="character" w:customStyle="1" w:styleId="16-tablecaptionChar">
    <w:name w:val="16-table caption Char"/>
    <w:basedOn w:val="DefaultParagraphFont"/>
    <w:link w:val="16-tablecaption"/>
    <w:rsid w:val="009907BA"/>
    <w:rPr>
      <w:rFonts w:ascii="Gulliver-Regular" w:eastAsia="Gulliver-Regular" w:hAnsi="Gulliver-Regular" w:cs="Times New Roman"/>
      <w:color w:val="000000"/>
      <w:kern w:val="0"/>
      <w:sz w:val="13"/>
      <w:szCs w:val="13"/>
      <w:lang w:eastAsia="en-US"/>
    </w:rPr>
  </w:style>
  <w:style w:type="paragraph" w:customStyle="1" w:styleId="17-tablecontent">
    <w:name w:val="17-table content"/>
    <w:basedOn w:val="15-table"/>
    <w:link w:val="17-tablecontentChar"/>
    <w:qFormat/>
    <w:rsid w:val="009907BA"/>
    <w:rPr>
      <w:b w:val="0"/>
    </w:rPr>
  </w:style>
  <w:style w:type="character" w:customStyle="1" w:styleId="17-tablecontentChar">
    <w:name w:val="17-table content Char"/>
    <w:basedOn w:val="15-tableChar"/>
    <w:link w:val="17-tablecontent"/>
    <w:rsid w:val="009907BA"/>
    <w:rPr>
      <w:rFonts w:ascii="Gulliver-Regular" w:eastAsia="Gulliver-Regular" w:hAnsi="Gulliver-Regular" w:cs="Times New Roman"/>
      <w:b w:val="0"/>
      <w:color w:val="000000"/>
      <w:kern w:val="0"/>
      <w:sz w:val="13"/>
      <w:szCs w:val="13"/>
      <w:lang w:eastAsia="en-US"/>
    </w:rPr>
  </w:style>
  <w:style w:type="paragraph" w:customStyle="1" w:styleId="18-tablenote">
    <w:name w:val="18-table note"/>
    <w:basedOn w:val="Normal"/>
    <w:link w:val="18-tablenoteChar"/>
    <w:qFormat/>
    <w:rsid w:val="009907BA"/>
    <w:pPr>
      <w:widowControl/>
      <w:spacing w:line="240" w:lineRule="exact"/>
    </w:pPr>
    <w:rPr>
      <w:rFonts w:ascii="Gulliver-Regular" w:eastAsia="Gulliver-Regular" w:hAnsi="Gulliver-Regular" w:cs="Times New Roman"/>
      <w:color w:val="000000"/>
      <w:kern w:val="0"/>
      <w:sz w:val="12"/>
      <w:szCs w:val="12"/>
      <w:lang w:eastAsia="en-US"/>
    </w:rPr>
  </w:style>
  <w:style w:type="character" w:customStyle="1" w:styleId="18-tablenoteChar">
    <w:name w:val="18-table note Char"/>
    <w:basedOn w:val="DefaultParagraphFont"/>
    <w:link w:val="18-tablenote"/>
    <w:rsid w:val="009907BA"/>
    <w:rPr>
      <w:rFonts w:ascii="Gulliver-Regular" w:eastAsia="Gulliver-Regular" w:hAnsi="Gulliver-Regular" w:cs="Times New Roman"/>
      <w:color w:val="000000"/>
      <w:kern w:val="0"/>
      <w:sz w:val="12"/>
      <w:szCs w:val="12"/>
      <w:lang w:eastAsia="en-US"/>
    </w:rPr>
  </w:style>
  <w:style w:type="table" w:styleId="TableGrid">
    <w:name w:val="Table Grid"/>
    <w:basedOn w:val="TableNormal"/>
    <w:uiPriority w:val="59"/>
    <w:rsid w:val="009907BA"/>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907BA"/>
    <w:rPr>
      <w:vertAlign w:val="superscript"/>
    </w:rPr>
  </w:style>
  <w:style w:type="character" w:styleId="FollowedHyperlink">
    <w:name w:val="FollowedHyperlink"/>
    <w:basedOn w:val="DefaultParagraphFont"/>
    <w:uiPriority w:val="99"/>
    <w:semiHidden/>
    <w:unhideWhenUsed/>
    <w:rsid w:val="009907BA"/>
    <w:rPr>
      <w:color w:val="954F72" w:themeColor="followedHyperlink"/>
      <w:u w:val="single"/>
    </w:rPr>
  </w:style>
  <w:style w:type="paragraph" w:styleId="Caption">
    <w:name w:val="caption"/>
    <w:basedOn w:val="Normal"/>
    <w:next w:val="Normal"/>
    <w:uiPriority w:val="35"/>
    <w:unhideWhenUsed/>
    <w:qFormat/>
    <w:rsid w:val="009907BA"/>
    <w:pPr>
      <w:widowControl/>
      <w:spacing w:after="160" w:line="259" w:lineRule="auto"/>
      <w:jc w:val="left"/>
    </w:pPr>
    <w:rPr>
      <w:rFonts w:asciiTheme="majorHAnsi" w:eastAsia="SimHei" w:hAnsiTheme="majorHAnsi" w:cstheme="majorBidi"/>
      <w:kern w:val="0"/>
      <w:sz w:val="20"/>
      <w:szCs w:val="20"/>
      <w:lang w:eastAsia="en-US"/>
    </w:rPr>
  </w:style>
  <w:style w:type="paragraph" w:customStyle="1" w:styleId="a">
    <w:name w:val="表中内容格式"/>
    <w:next w:val="Normal"/>
    <w:link w:val="Char"/>
    <w:autoRedefine/>
    <w:qFormat/>
    <w:rsid w:val="009907BA"/>
    <w:pPr>
      <w:spacing w:line="200" w:lineRule="exact"/>
      <w:jc w:val="both"/>
    </w:pPr>
    <w:rPr>
      <w:rFonts w:eastAsia="SimSun" w:cstheme="minorHAnsi"/>
      <w:noProof/>
      <w:szCs w:val="21"/>
    </w:rPr>
  </w:style>
  <w:style w:type="character" w:customStyle="1" w:styleId="Char">
    <w:name w:val="表中内容格式 Char"/>
    <w:basedOn w:val="DefaultParagraphFont"/>
    <w:link w:val="a"/>
    <w:rsid w:val="009907BA"/>
    <w:rPr>
      <w:rFonts w:eastAsia="SimSun" w:cstheme="minorHAnsi"/>
      <w:noProof/>
      <w:szCs w:val="21"/>
    </w:rPr>
  </w:style>
  <w:style w:type="character" w:styleId="EndnoteReference">
    <w:name w:val="endnote reference"/>
    <w:basedOn w:val="DefaultParagraphFont"/>
    <w:uiPriority w:val="99"/>
    <w:semiHidden/>
    <w:unhideWhenUsed/>
    <w:rsid w:val="00990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AFE4-771D-4B45-B8AD-1BD67BE3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16544</Words>
  <Characters>94307</Characters>
  <Application>Microsoft Office Word</Application>
  <DocSecurity>0</DocSecurity>
  <Lines>785</Lines>
  <Paragraphs>221</Paragraphs>
  <ScaleCrop>false</ScaleCrop>
  <Company/>
  <LinksUpToDate>false</LinksUpToDate>
  <CharactersWithSpaces>110630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Liwang</dc:creator>
  <cp:keywords/>
  <dc:description/>
  <cp:lastModifiedBy>Mathankumar S.</cp:lastModifiedBy>
  <cp:revision>7</cp:revision>
  <dcterms:created xsi:type="dcterms:W3CDTF">2022-05-14T05:23:00Z</dcterms:created>
  <dcterms:modified xsi:type="dcterms:W3CDTF">2022-06-13T16:03:00Z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http://csl.mendeley.com/styles/560812011/springer-basic-author-date</vt:lpwstr>
  </property>
  <property fmtid="{D5CDD505-2E9C-101B-9397-08002B2CF9AE}" pid="13" name="Mendeley Recent Style Name 5_1">
    <vt:lpwstr>Journal of Rock Mechanics and Geotechnical Engineering - LIU Liwang</vt:lpwstr>
  </property>
  <property fmtid="{D5CDD505-2E9C-101B-9397-08002B2CF9AE}" pid="14" name="Mendeley Recent Style Id 6_1">
    <vt:lpwstr>https://csl.mendeley.com/styles/560812011/springer-basic-author-date</vt:lpwstr>
  </property>
  <property fmtid="{D5CDD505-2E9C-101B-9397-08002B2CF9AE}" pid="15" name="Mendeley Recent Style Name 6_1">
    <vt:lpwstr>Journal of Rock Mechanics and Geotechnical Engineering - LIU Liwang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http://www.zotero.org/styles/rock-mechanics-and-rock-engineering</vt:lpwstr>
  </property>
  <property fmtid="{D5CDD505-2E9C-101B-9397-08002B2CF9AE}" pid="21" name="Mendeley Recent Style Name 9_1">
    <vt:lpwstr>Rock Mechanics and Rock Engineering</vt:lpwstr>
  </property>
  <property fmtid="{D5CDD505-2E9C-101B-9397-08002B2CF9AE}" pid="22" name="Mendeley Document_1">
    <vt:lpwstr>True</vt:lpwstr>
  </property>
  <property fmtid="{D5CDD505-2E9C-101B-9397-08002B2CF9AE}" pid="23" name="Mendeley Unique User Id_1">
    <vt:lpwstr>cc50893b-567e-3026-8c6a-46bcdd6a8f8a</vt:lpwstr>
  </property>
  <property fmtid="{D5CDD505-2E9C-101B-9397-08002B2CF9AE}" pid="24" name="Mendeley Citation Style_1">
    <vt:lpwstr>https://csl.mendeley.com/styles/560812011/springer-basic-author-date</vt:lpwstr>
  </property>
</Properties>
</file>